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bCs/>
          <w:sz w:val="32"/>
          <w:szCs w:val="32"/>
          <w:highlight w:val="none"/>
        </w:rPr>
      </w:pPr>
      <w:r>
        <w:rPr>
          <w:rFonts w:hint="eastAsia" w:ascii="黑体" w:hAnsi="黑体" w:eastAsia="黑体"/>
          <w:bCs/>
          <w:sz w:val="32"/>
          <w:szCs w:val="32"/>
          <w:highlight w:val="none"/>
        </w:rPr>
        <w:t>附件2：</w:t>
      </w:r>
    </w:p>
    <w:p>
      <w:pPr>
        <w:spacing w:line="600" w:lineRule="exact"/>
        <w:jc w:val="center"/>
        <w:rPr>
          <w:rFonts w:ascii="宋体" w:hAnsi="宋体" w:eastAsia="宋体"/>
          <w:b/>
          <w:bCs/>
          <w:sz w:val="36"/>
          <w:szCs w:val="36"/>
          <w:highlight w:val="none"/>
        </w:rPr>
      </w:pPr>
      <w:r>
        <w:rPr>
          <w:rFonts w:hint="eastAsia" w:ascii="宋体" w:hAnsi="宋体" w:eastAsia="宋体"/>
          <w:b/>
          <w:bCs/>
          <w:sz w:val="36"/>
          <w:szCs w:val="36"/>
          <w:highlight w:val="none"/>
        </w:rPr>
        <w:t>江西工业贸易职业技术学院</w:t>
      </w:r>
    </w:p>
    <w:p>
      <w:pPr>
        <w:spacing w:line="600" w:lineRule="exact"/>
        <w:jc w:val="center"/>
        <w:rPr>
          <w:rFonts w:ascii="宋体" w:hAnsi="宋体" w:eastAsia="宋体"/>
          <w:b/>
          <w:bCs/>
          <w:sz w:val="36"/>
          <w:szCs w:val="36"/>
          <w:highlight w:val="none"/>
        </w:rPr>
      </w:pPr>
      <w:r>
        <w:rPr>
          <w:rFonts w:hint="eastAsia" w:ascii="宋体" w:hAnsi="宋体" w:eastAsia="宋体"/>
          <w:b/>
          <w:bCs/>
          <w:sz w:val="36"/>
          <w:szCs w:val="36"/>
          <w:highlight w:val="none"/>
        </w:rPr>
        <w:t>信息安全技术应用专业高职人才培养方案</w:t>
      </w:r>
    </w:p>
    <w:p>
      <w:pPr>
        <w:spacing w:line="360" w:lineRule="exact"/>
        <w:ind w:firstLine="480" w:firstLineChars="200"/>
        <w:jc w:val="center"/>
        <w:rPr>
          <w:rFonts w:ascii="宋体" w:hAnsi="宋体" w:eastAsia="宋体"/>
          <w:bCs/>
          <w:sz w:val="24"/>
          <w:highlight w:val="none"/>
        </w:rPr>
      </w:pPr>
    </w:p>
    <w:p>
      <w:pPr>
        <w:snapToGrid w:val="0"/>
        <w:spacing w:line="380" w:lineRule="exact"/>
        <w:ind w:firstLine="482" w:firstLineChars="200"/>
        <w:outlineLvl w:val="0"/>
        <w:rPr>
          <w:rFonts w:ascii="宋体" w:hAnsi="宋体" w:eastAsia="宋体"/>
          <w:sz w:val="24"/>
          <w:highlight w:val="none"/>
        </w:rPr>
      </w:pPr>
      <w:bookmarkStart w:id="0" w:name="_Toc327706725"/>
      <w:r>
        <w:rPr>
          <w:rFonts w:hint="eastAsia" w:ascii="宋体" w:hAnsi="宋体" w:eastAsia="宋体"/>
          <w:b/>
          <w:sz w:val="24"/>
          <w:highlight w:val="none"/>
        </w:rPr>
        <w:t>一、招生对象与学制</w:t>
      </w:r>
      <w:bookmarkEnd w:id="0"/>
    </w:p>
    <w:p>
      <w:pPr>
        <w:snapToGrid w:val="0"/>
        <w:spacing w:line="380" w:lineRule="exact"/>
        <w:ind w:firstLine="420"/>
        <w:outlineLvl w:val="1"/>
        <w:rPr>
          <w:rFonts w:ascii="宋体" w:hAnsi="宋体" w:eastAsia="宋体" w:cs="Times New Roman"/>
          <w:szCs w:val="21"/>
          <w:highlight w:val="none"/>
        </w:rPr>
      </w:pPr>
      <w:bookmarkStart w:id="1" w:name="_Toc327706726"/>
      <w:bookmarkStart w:id="2" w:name="_Toc327706727"/>
      <w:r>
        <w:rPr>
          <w:rFonts w:hint="eastAsia" w:ascii="宋体" w:hAnsi="宋体" w:eastAsia="宋体" w:cs="Times New Roman"/>
          <w:szCs w:val="21"/>
          <w:highlight w:val="none"/>
        </w:rPr>
        <w:t>（一）招生对象</w:t>
      </w:r>
      <w:bookmarkEnd w:id="1"/>
    </w:p>
    <w:p>
      <w:pPr>
        <w:snapToGrid w:val="0"/>
        <w:spacing w:line="380" w:lineRule="exact"/>
        <w:ind w:firstLine="420"/>
        <w:outlineLvl w:val="1"/>
        <w:rPr>
          <w:rFonts w:ascii="宋体" w:hAnsi="宋体" w:eastAsia="宋体" w:cs="Times New Roman"/>
          <w:szCs w:val="21"/>
          <w:highlight w:val="none"/>
        </w:rPr>
      </w:pPr>
      <w:r>
        <w:rPr>
          <w:rFonts w:hint="eastAsia" w:ascii="宋体" w:hAnsi="宋体" w:eastAsia="宋体" w:cs="Times New Roman"/>
          <w:szCs w:val="21"/>
          <w:highlight w:val="none"/>
        </w:rPr>
        <w:t>普通高中毕业生及同等学历者</w:t>
      </w:r>
    </w:p>
    <w:p>
      <w:pPr>
        <w:numPr>
          <w:ilvl w:val="0"/>
          <w:numId w:val="1"/>
        </w:numPr>
        <w:snapToGrid w:val="0"/>
        <w:spacing w:line="380" w:lineRule="exact"/>
        <w:ind w:firstLine="420" w:firstLineChars="200"/>
        <w:outlineLvl w:val="1"/>
        <w:rPr>
          <w:rFonts w:ascii="宋体" w:hAnsi="宋体" w:eastAsia="宋体" w:cs="Times New Roman"/>
          <w:szCs w:val="21"/>
          <w:highlight w:val="none"/>
        </w:rPr>
      </w:pPr>
      <w:r>
        <w:rPr>
          <w:rFonts w:hint="eastAsia" w:ascii="宋体" w:hAnsi="宋体" w:eastAsia="宋体" w:cs="Times New Roman"/>
          <w:szCs w:val="21"/>
          <w:highlight w:val="none"/>
        </w:rPr>
        <w:t>学制</w:t>
      </w:r>
      <w:bookmarkEnd w:id="2"/>
    </w:p>
    <w:p>
      <w:pPr>
        <w:snapToGrid w:val="0"/>
        <w:spacing w:line="380" w:lineRule="exact"/>
        <w:ind w:firstLine="420" w:firstLineChars="200"/>
        <w:rPr>
          <w:rFonts w:ascii="宋体" w:hAnsi="宋体" w:eastAsia="宋体" w:cs="Times New Roman"/>
          <w:szCs w:val="21"/>
          <w:highlight w:val="none"/>
        </w:rPr>
      </w:pPr>
      <w:r>
        <w:rPr>
          <w:rFonts w:hint="eastAsia" w:ascii="楷体" w:hAnsi="楷体" w:eastAsia="宋体" w:cs="Times New Roman"/>
          <w:color w:val="000000"/>
          <w:szCs w:val="21"/>
          <w:highlight w:val="none"/>
        </w:rPr>
        <w:t>全日制三年</w:t>
      </w:r>
    </w:p>
    <w:p>
      <w:pPr>
        <w:snapToGrid w:val="0"/>
        <w:spacing w:line="380" w:lineRule="exact"/>
        <w:ind w:firstLine="482" w:firstLineChars="200"/>
        <w:outlineLvl w:val="0"/>
        <w:rPr>
          <w:rFonts w:ascii="宋体" w:hAnsi="宋体" w:eastAsia="宋体"/>
          <w:b/>
          <w:sz w:val="24"/>
          <w:highlight w:val="none"/>
        </w:rPr>
      </w:pPr>
      <w:bookmarkStart w:id="3" w:name="_Toc327706728"/>
      <w:r>
        <w:rPr>
          <w:rFonts w:hint="eastAsia" w:ascii="宋体" w:hAnsi="宋体" w:eastAsia="宋体"/>
          <w:b/>
          <w:sz w:val="24"/>
          <w:highlight w:val="none"/>
        </w:rPr>
        <w:t>二、专业人才培养目标</w:t>
      </w:r>
      <w:bookmarkEnd w:id="3"/>
    </w:p>
    <w:p>
      <w:pPr>
        <w:snapToGrid w:val="0"/>
        <w:spacing w:line="380" w:lineRule="exact"/>
        <w:ind w:left="420" w:firstLine="420" w:firstLineChars="200"/>
        <w:outlineLvl w:val="0"/>
        <w:rPr>
          <w:rFonts w:ascii="宋体" w:hAnsi="宋体" w:eastAsia="宋体"/>
          <w:b/>
          <w:sz w:val="24"/>
          <w:highlight w:val="none"/>
        </w:rPr>
      </w:pPr>
      <w:bookmarkStart w:id="4" w:name="_Toc327706729"/>
      <w:r>
        <w:rPr>
          <w:rFonts w:hint="eastAsia" w:ascii="宋体" w:hAnsi="宋体" w:eastAsia="宋体"/>
          <w:szCs w:val="21"/>
          <w:highlight w:val="none"/>
        </w:rPr>
        <w:t>本专业为物联网应用类专业群的群内专业，结合专业群服务江西及长三角地区经济社会发展对人才的需求，依托专业群服务的物联网行业，与信息安全交互服务类企业合作，培养物联网领域从事信息安全运维、信息安全技术服务、系统运行安全监控和网络管理应用等岗位工作，德智体美</w:t>
      </w:r>
      <w:r>
        <w:rPr>
          <w:rFonts w:hint="eastAsia" w:ascii="宋体" w:hAnsi="宋体" w:eastAsia="宋体"/>
          <w:szCs w:val="21"/>
          <w:highlight w:val="none"/>
          <w:lang w:val="en-US" w:eastAsia="zh-CN"/>
        </w:rPr>
        <w:t>劳</w:t>
      </w:r>
      <w:r>
        <w:rPr>
          <w:rFonts w:hint="eastAsia" w:ascii="宋体" w:hAnsi="宋体" w:eastAsia="宋体"/>
          <w:szCs w:val="21"/>
          <w:highlight w:val="none"/>
        </w:rPr>
        <w:t>全面发展，践行社会主义核心价值观，具有一定的文化水平、良好的职业道德和人文素养，具备工匠精神，具有创新思维、创新精神、创新创业意识和创新创业能力的高素质技术技能型人才</w:t>
      </w:r>
      <w:r>
        <w:rPr>
          <w:rFonts w:ascii="宋体" w:hAnsi="宋体" w:eastAsia="宋体"/>
          <w:szCs w:val="21"/>
          <w:highlight w:val="none"/>
        </w:rPr>
        <w:t>。</w:t>
      </w:r>
      <w:r>
        <w:rPr>
          <w:rFonts w:ascii="宋体" w:hAnsi="宋体" w:eastAsia="宋体"/>
          <w:kern w:val="0"/>
          <w:sz w:val="24"/>
          <w:highlight w:val="none"/>
        </w:rPr>
        <w:br w:type="textWrapping"/>
      </w:r>
      <w:r>
        <w:rPr>
          <w:rFonts w:hint="eastAsia" w:ascii="宋体" w:hAnsi="宋体" w:eastAsia="宋体"/>
          <w:b/>
          <w:sz w:val="24"/>
          <w:highlight w:val="none"/>
        </w:rPr>
        <w:t>三、职业面向</w:t>
      </w:r>
      <w:bookmarkEnd w:id="4"/>
    </w:p>
    <w:p>
      <w:pPr>
        <w:snapToGrid w:val="0"/>
        <w:spacing w:line="380" w:lineRule="exact"/>
        <w:outlineLvl w:val="0"/>
        <w:rPr>
          <w:rFonts w:ascii="宋体" w:hAnsi="宋体" w:eastAsia="宋体"/>
          <w:szCs w:val="21"/>
          <w:highlight w:val="none"/>
        </w:rPr>
      </w:pPr>
      <w:r>
        <w:rPr>
          <w:rFonts w:hint="eastAsia" w:ascii="宋体" w:hAnsi="宋体" w:eastAsia="宋体"/>
          <w:szCs w:val="21"/>
          <w:highlight w:val="none"/>
        </w:rPr>
        <w:t xml:space="preserve">    （一）首次就业岗位及主要工作项目</w:t>
      </w:r>
    </w:p>
    <w:p>
      <w:pPr>
        <w:snapToGrid w:val="0"/>
        <w:spacing w:line="380" w:lineRule="exact"/>
        <w:ind w:firstLine="420" w:firstLineChars="200"/>
        <w:outlineLvl w:val="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1．网络安全工程师</w:t>
      </w:r>
      <w:r>
        <w:rPr>
          <w:rFonts w:hint="eastAsia" w:ascii="Times New Roman" w:eastAsia="宋体" w:cs="Times New Roman"/>
          <w:color w:val="000000"/>
          <w:szCs w:val="21"/>
          <w:highlight w:val="none"/>
        </w:rPr>
        <w:t>，其主要工作项目为：</w:t>
      </w:r>
    </w:p>
    <w:p>
      <w:pPr>
        <w:snapToGrid w:val="0"/>
        <w:spacing w:line="380" w:lineRule="exact"/>
        <w:ind w:firstLine="420" w:firstLineChars="200"/>
        <w:outlineLvl w:val="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（1）能够根据设计要求连接网络互联和安全控制设备；</w:t>
      </w:r>
    </w:p>
    <w:p>
      <w:pPr>
        <w:snapToGrid w:val="0"/>
        <w:spacing w:line="380" w:lineRule="exact"/>
        <w:ind w:firstLine="420" w:firstLineChars="200"/>
        <w:outlineLvl w:val="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（2）</w:t>
      </w:r>
      <w:r>
        <w:rPr>
          <w:rFonts w:hint="eastAsia" w:ascii="Times New Roman" w:eastAsia="宋体" w:cs="Times New Roman"/>
          <w:color w:val="000000"/>
          <w:szCs w:val="21"/>
          <w:highlight w:val="none"/>
        </w:rPr>
        <w:t>能够根据设计要求对网络互联和安全控制设备进行安全配置与加固</w:t>
      </w:r>
      <w:r>
        <w:rPr>
          <w:rFonts w:hint="eastAsia" w:ascii="宋体" w:hAnsi="宋体" w:eastAsia="宋体" w:cs="Times New Roman"/>
          <w:color w:val="000000"/>
          <w:szCs w:val="21"/>
          <w:highlight w:val="none"/>
        </w:rPr>
        <w:t>；</w:t>
      </w:r>
    </w:p>
    <w:p>
      <w:pPr>
        <w:snapToGrid w:val="0"/>
        <w:spacing w:line="380" w:lineRule="exact"/>
        <w:ind w:firstLine="420" w:firstLineChars="200"/>
        <w:outlineLvl w:val="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（3）</w:t>
      </w:r>
      <w:r>
        <w:rPr>
          <w:rFonts w:hint="eastAsia" w:ascii="Times New Roman" w:eastAsia="宋体" w:cs="Times New Roman"/>
          <w:color w:val="000000"/>
          <w:szCs w:val="21"/>
          <w:highlight w:val="none"/>
        </w:rPr>
        <w:t>能够按照要求安装网络操作系统配置基础服务</w:t>
      </w:r>
      <w:r>
        <w:rPr>
          <w:rFonts w:hint="eastAsia" w:ascii="宋体" w:hAnsi="宋体" w:eastAsia="宋体" w:cs="Times New Roman"/>
          <w:color w:val="000000"/>
          <w:szCs w:val="21"/>
          <w:highlight w:val="none"/>
        </w:rPr>
        <w:t>；</w:t>
      </w:r>
    </w:p>
    <w:p>
      <w:pPr>
        <w:snapToGrid w:val="0"/>
        <w:spacing w:line="380" w:lineRule="exact"/>
        <w:ind w:firstLine="420" w:firstLineChars="200"/>
        <w:outlineLvl w:val="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（4）统计整理运维数据并撰写安全运维技术文档；</w:t>
      </w:r>
    </w:p>
    <w:p>
      <w:pPr>
        <w:snapToGrid w:val="0"/>
        <w:spacing w:line="380" w:lineRule="exact"/>
        <w:ind w:firstLine="420" w:firstLineChars="200"/>
        <w:outlineLvl w:val="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（5）能按照设计方案为相关用户分配权限。</w:t>
      </w:r>
    </w:p>
    <w:p>
      <w:pPr>
        <w:snapToGrid w:val="0"/>
        <w:spacing w:line="380" w:lineRule="exact"/>
        <w:ind w:firstLine="420" w:firstLineChars="200"/>
        <w:outlineLvl w:val="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2.应用系统安全运维工程师</w:t>
      </w:r>
    </w:p>
    <w:p>
      <w:pPr>
        <w:snapToGrid w:val="0"/>
        <w:spacing w:line="380" w:lineRule="exact"/>
        <w:ind w:firstLine="420" w:firstLineChars="200"/>
        <w:outlineLvl w:val="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（1）</w:t>
      </w:r>
      <w:r>
        <w:rPr>
          <w:rFonts w:hint="eastAsia" w:ascii="宋体" w:hAnsi="宋体" w:eastAsia="宋体" w:cs="Times New Roman"/>
          <w:color w:val="000000"/>
          <w:kern w:val="0"/>
          <w:szCs w:val="21"/>
          <w:highlight w:val="none"/>
        </w:rPr>
        <w:t>熟悉主要操作系统平台的安全管理方法</w:t>
      </w:r>
      <w:r>
        <w:rPr>
          <w:rFonts w:hint="eastAsia" w:ascii="宋体" w:hAnsi="宋体" w:eastAsia="宋体" w:cs="Times New Roman"/>
          <w:color w:val="000000"/>
          <w:szCs w:val="21"/>
          <w:highlight w:val="none"/>
        </w:rPr>
        <w:t>；</w:t>
      </w:r>
    </w:p>
    <w:p>
      <w:pPr>
        <w:snapToGrid w:val="0"/>
        <w:spacing w:line="380" w:lineRule="exact"/>
        <w:ind w:firstLine="420" w:firstLineChars="200"/>
        <w:outlineLvl w:val="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（2）</w:t>
      </w:r>
      <w:r>
        <w:rPr>
          <w:rFonts w:hint="eastAsia" w:ascii="宋体" w:hAnsi="宋体" w:eastAsia="宋体" w:cs="Times New Roman"/>
          <w:color w:val="000000"/>
          <w:kern w:val="0"/>
          <w:szCs w:val="21"/>
          <w:highlight w:val="none"/>
        </w:rPr>
        <w:t>熟练使用安全测试、网络抓包工具、协议分析工具</w:t>
      </w:r>
      <w:r>
        <w:rPr>
          <w:rFonts w:hint="eastAsia" w:ascii="宋体" w:hAnsi="宋体" w:eastAsia="宋体" w:cs="Times New Roman"/>
          <w:color w:val="000000"/>
          <w:szCs w:val="21"/>
          <w:highlight w:val="none"/>
        </w:rPr>
        <w:t>；</w:t>
      </w:r>
    </w:p>
    <w:p>
      <w:pPr>
        <w:snapToGrid w:val="0"/>
        <w:spacing w:line="380" w:lineRule="exact"/>
        <w:ind w:firstLine="420" w:firstLineChars="200"/>
        <w:outlineLvl w:val="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（3）</w:t>
      </w:r>
      <w:r>
        <w:rPr>
          <w:rFonts w:hint="eastAsia" w:ascii="宋体" w:hAnsi="宋体" w:eastAsia="宋体" w:cs="Times New Roman"/>
          <w:color w:val="000000"/>
          <w:kern w:val="0"/>
          <w:szCs w:val="21"/>
          <w:highlight w:val="none"/>
        </w:rPr>
        <w:t>能够对操作系统平台、网络应用服务进行渗透检测</w:t>
      </w:r>
      <w:r>
        <w:rPr>
          <w:rFonts w:hint="eastAsia" w:ascii="宋体" w:hAnsi="宋体" w:eastAsia="宋体" w:cs="Times New Roman"/>
          <w:color w:val="000000"/>
          <w:szCs w:val="21"/>
          <w:highlight w:val="none"/>
        </w:rPr>
        <w:t>；</w:t>
      </w:r>
    </w:p>
    <w:p>
      <w:pPr>
        <w:snapToGrid w:val="0"/>
        <w:spacing w:line="380" w:lineRule="exact"/>
        <w:ind w:firstLine="420" w:firstLineChars="200"/>
        <w:outlineLvl w:val="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（4）</w:t>
      </w:r>
      <w:r>
        <w:rPr>
          <w:rFonts w:hint="eastAsia" w:ascii="宋体" w:hAnsi="宋体" w:eastAsia="宋体" w:cs="Times New Roman"/>
          <w:color w:val="000000"/>
          <w:kern w:val="0"/>
          <w:szCs w:val="21"/>
          <w:highlight w:val="none"/>
        </w:rPr>
        <w:t>能够对主要的应用服务进行加固处理</w:t>
      </w:r>
      <w:r>
        <w:rPr>
          <w:rFonts w:hint="eastAsia" w:ascii="宋体" w:hAnsi="宋体" w:eastAsia="宋体" w:cs="Times New Roman"/>
          <w:color w:val="000000"/>
          <w:szCs w:val="21"/>
          <w:highlight w:val="none"/>
        </w:rPr>
        <w:t>；</w:t>
      </w:r>
    </w:p>
    <w:p>
      <w:pPr>
        <w:snapToGrid w:val="0"/>
        <w:spacing w:line="380" w:lineRule="exact"/>
        <w:ind w:firstLine="420" w:firstLineChars="200"/>
        <w:outlineLvl w:val="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（5）</w:t>
      </w:r>
      <w:r>
        <w:rPr>
          <w:rFonts w:hint="eastAsia" w:ascii="宋体" w:hAnsi="宋体" w:eastAsia="宋体" w:cs="Times New Roman"/>
          <w:color w:val="000000"/>
          <w:kern w:val="0"/>
          <w:szCs w:val="21"/>
          <w:highlight w:val="none"/>
        </w:rPr>
        <w:t>能管理主流数据库系统，能够进行关键业务数据安全管理</w:t>
      </w:r>
      <w:r>
        <w:rPr>
          <w:rFonts w:hint="eastAsia" w:ascii="宋体" w:hAnsi="宋体" w:eastAsia="宋体" w:cs="Times New Roman"/>
          <w:color w:val="000000"/>
          <w:szCs w:val="21"/>
          <w:highlight w:val="none"/>
        </w:rPr>
        <w:t>。</w:t>
      </w:r>
    </w:p>
    <w:p>
      <w:pPr>
        <w:snapToGrid w:val="0"/>
        <w:spacing w:line="380" w:lineRule="exact"/>
        <w:ind w:firstLine="420" w:firstLineChars="200"/>
        <w:outlineLvl w:val="0"/>
        <w:rPr>
          <w:rFonts w:ascii="宋体" w:hAnsi="宋体" w:eastAsia="宋体" w:cs="Times New Roman"/>
          <w:color w:val="000000"/>
          <w:kern w:val="0"/>
          <w:szCs w:val="21"/>
          <w:highlight w:val="none"/>
        </w:rPr>
      </w:pPr>
      <w:r>
        <w:rPr>
          <w:rFonts w:hint="eastAsia" w:ascii="宋体" w:hAnsi="宋体" w:eastAsia="宋体" w:cs="Times New Roman"/>
          <w:color w:val="000000"/>
          <w:kern w:val="0"/>
          <w:szCs w:val="21"/>
          <w:highlight w:val="none"/>
        </w:rPr>
        <w:t>3</w:t>
      </w:r>
      <w:r>
        <w:rPr>
          <w:rFonts w:ascii="宋体" w:hAnsi="宋体" w:eastAsia="宋体" w:cs="Times New Roman"/>
          <w:color w:val="000000"/>
          <w:kern w:val="0"/>
          <w:szCs w:val="21"/>
          <w:highlight w:val="none"/>
        </w:rPr>
        <w:t>.</w:t>
      </w:r>
      <w:r>
        <w:rPr>
          <w:rFonts w:hint="eastAsia" w:ascii="宋体" w:hAnsi="宋体" w:eastAsia="宋体" w:cs="Times New Roman"/>
          <w:color w:val="000000"/>
          <w:kern w:val="0"/>
          <w:szCs w:val="21"/>
          <w:highlight w:val="none"/>
        </w:rPr>
        <w:t>渗透</w:t>
      </w:r>
      <w:r>
        <w:rPr>
          <w:rFonts w:ascii="宋体" w:hAnsi="宋体" w:eastAsia="宋体" w:cs="Times New Roman"/>
          <w:color w:val="000000"/>
          <w:kern w:val="0"/>
          <w:szCs w:val="21"/>
          <w:highlight w:val="none"/>
        </w:rPr>
        <w:t>测试工程师</w:t>
      </w:r>
      <w:r>
        <w:rPr>
          <w:rFonts w:hint="eastAsia" w:ascii="宋体" w:hAnsi="宋体" w:eastAsia="宋体" w:cs="Times New Roman"/>
          <w:color w:val="000000"/>
          <w:kern w:val="0"/>
          <w:szCs w:val="21"/>
          <w:highlight w:val="none"/>
        </w:rPr>
        <w:t>，其主要工作项目为：</w:t>
      </w:r>
    </w:p>
    <w:p>
      <w:pPr>
        <w:snapToGrid w:val="0"/>
        <w:spacing w:line="380" w:lineRule="exact"/>
        <w:ind w:firstLine="420" w:firstLineChars="200"/>
        <w:outlineLvl w:val="0"/>
        <w:rPr>
          <w:rFonts w:ascii="宋体" w:hAnsi="宋体" w:eastAsia="宋体" w:cs="Times New Roman"/>
          <w:color w:val="000000"/>
          <w:kern w:val="0"/>
          <w:szCs w:val="21"/>
          <w:highlight w:val="none"/>
        </w:rPr>
      </w:pPr>
      <w:r>
        <w:rPr>
          <w:rFonts w:hint="eastAsia" w:ascii="宋体" w:hAnsi="宋体" w:eastAsia="宋体" w:cs="Times New Roman"/>
          <w:color w:val="000000"/>
          <w:kern w:val="0"/>
          <w:szCs w:val="21"/>
          <w:highlight w:val="none"/>
        </w:rPr>
        <w:t>（1）能</w:t>
      </w:r>
      <w:r>
        <w:rPr>
          <w:rFonts w:ascii="宋体" w:hAnsi="宋体" w:eastAsia="宋体" w:cs="Times New Roman"/>
          <w:color w:val="000000"/>
          <w:kern w:val="0"/>
          <w:szCs w:val="21"/>
          <w:highlight w:val="none"/>
        </w:rPr>
        <w:t>了解渗透测试与漏洞挖掘的步骤、方向和流程，能够独自、熟练运用各种手段对目标系统实施有效的渗透并撰写渗透测试报告；</w:t>
      </w:r>
    </w:p>
    <w:p>
      <w:pPr>
        <w:snapToGrid w:val="0"/>
        <w:spacing w:line="380" w:lineRule="exact"/>
        <w:ind w:firstLine="420" w:firstLineChars="200"/>
        <w:outlineLvl w:val="0"/>
        <w:rPr>
          <w:rFonts w:ascii="宋体" w:hAnsi="宋体" w:eastAsia="宋体" w:cs="Times New Roman"/>
          <w:color w:val="000000"/>
          <w:kern w:val="0"/>
          <w:szCs w:val="21"/>
          <w:highlight w:val="none"/>
        </w:rPr>
      </w:pPr>
      <w:r>
        <w:rPr>
          <w:rFonts w:hint="eastAsia" w:ascii="宋体" w:hAnsi="宋体" w:eastAsia="宋体" w:cs="Times New Roman"/>
          <w:color w:val="000000"/>
          <w:kern w:val="0"/>
          <w:szCs w:val="21"/>
          <w:highlight w:val="none"/>
        </w:rPr>
        <w:t>（2）能</w:t>
      </w:r>
      <w:r>
        <w:rPr>
          <w:rFonts w:ascii="宋体" w:hAnsi="宋体" w:eastAsia="宋体" w:cs="Times New Roman"/>
          <w:color w:val="000000"/>
          <w:kern w:val="0"/>
          <w:szCs w:val="21"/>
          <w:highlight w:val="none"/>
        </w:rPr>
        <w:t>了解常见网络安全攻击和防御办法，熟悉Web安全与主机安全、内网渗透测试技术；</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cs="Times New Roman"/>
          <w:color w:val="000000"/>
          <w:kern w:val="0"/>
          <w:szCs w:val="21"/>
          <w:highlight w:val="none"/>
        </w:rPr>
        <w:t>（3）当</w:t>
      </w:r>
      <w:r>
        <w:rPr>
          <w:rFonts w:ascii="宋体" w:hAnsi="宋体" w:eastAsia="宋体" w:cs="Times New Roman"/>
          <w:color w:val="000000"/>
          <w:kern w:val="0"/>
          <w:szCs w:val="21"/>
          <w:highlight w:val="none"/>
        </w:rPr>
        <w:t>出现网络攻击或安全事件时，提供紧急响应服务，帮助用户恢复系统及调查取证</w:t>
      </w:r>
    </w:p>
    <w:p>
      <w:pPr>
        <w:snapToGrid w:val="0"/>
        <w:spacing w:line="380" w:lineRule="exact"/>
        <w:outlineLvl w:val="0"/>
        <w:rPr>
          <w:rFonts w:ascii="宋体" w:hAnsi="宋体" w:eastAsia="宋体"/>
          <w:szCs w:val="21"/>
          <w:highlight w:val="none"/>
        </w:rPr>
      </w:pPr>
      <w:r>
        <w:rPr>
          <w:rFonts w:hint="eastAsia" w:ascii="宋体" w:hAnsi="宋体" w:eastAsia="宋体"/>
          <w:szCs w:val="21"/>
          <w:highlight w:val="none"/>
        </w:rPr>
        <w:t xml:space="preserve">    （二）目标岗位及主要工作项目</w:t>
      </w:r>
    </w:p>
    <w:p>
      <w:pPr>
        <w:snapToGrid w:val="0"/>
        <w:spacing w:line="380" w:lineRule="exact"/>
        <w:ind w:firstLine="420" w:firstLineChars="200"/>
        <w:outlineLvl w:val="0"/>
        <w:rPr>
          <w:rFonts w:ascii="Times New Roman" w:eastAsia="宋体" w:cs="Times New Roman"/>
          <w:color w:val="000000"/>
          <w:szCs w:val="21"/>
          <w:highlight w:val="none"/>
        </w:rPr>
      </w:pPr>
      <w:r>
        <w:rPr>
          <w:rFonts w:hint="eastAsia" w:ascii="宋体" w:hAnsi="宋体" w:eastAsia="宋体" w:cs="Times New Roman"/>
          <w:color w:val="000000"/>
          <w:szCs w:val="21"/>
          <w:highlight w:val="none"/>
        </w:rPr>
        <w:t>1.安全测评师</w:t>
      </w:r>
      <w:r>
        <w:rPr>
          <w:rFonts w:hint="eastAsia" w:ascii="Times New Roman" w:eastAsia="宋体" w:cs="Times New Roman"/>
          <w:color w:val="000000"/>
          <w:szCs w:val="21"/>
          <w:highlight w:val="none"/>
        </w:rPr>
        <w:t>，其主要工作项目为：</w:t>
      </w:r>
    </w:p>
    <w:p>
      <w:pPr>
        <w:snapToGrid w:val="0"/>
        <w:spacing w:line="380" w:lineRule="exact"/>
        <w:ind w:firstLine="420" w:firstLineChars="200"/>
        <w:outlineLvl w:val="0"/>
        <w:rPr>
          <w:rFonts w:ascii="宋体" w:hAnsi="宋体" w:eastAsia="宋体" w:cs="Times New Roman"/>
          <w:color w:val="000000"/>
          <w:kern w:val="0"/>
          <w:szCs w:val="21"/>
          <w:highlight w:val="none"/>
        </w:rPr>
      </w:pPr>
      <w:r>
        <w:rPr>
          <w:rFonts w:hint="eastAsia" w:ascii="宋体" w:hAnsi="宋体" w:eastAsia="宋体" w:cs="Times New Roman"/>
          <w:color w:val="000000"/>
          <w:kern w:val="0"/>
          <w:szCs w:val="21"/>
          <w:highlight w:val="none"/>
        </w:rPr>
        <w:t>（1）能够制定信息系统安全分析评估工作计划；</w:t>
      </w:r>
    </w:p>
    <w:p>
      <w:pPr>
        <w:snapToGrid w:val="0"/>
        <w:spacing w:line="380" w:lineRule="exact"/>
        <w:ind w:firstLine="420" w:firstLineChars="200"/>
        <w:outlineLvl w:val="0"/>
        <w:rPr>
          <w:rFonts w:ascii="宋体" w:hAnsi="宋体" w:eastAsia="宋体" w:cs="Times New Roman"/>
          <w:color w:val="000000"/>
          <w:kern w:val="0"/>
          <w:szCs w:val="21"/>
          <w:highlight w:val="none"/>
        </w:rPr>
      </w:pPr>
      <w:r>
        <w:rPr>
          <w:rFonts w:hint="eastAsia" w:ascii="宋体" w:hAnsi="宋体" w:eastAsia="宋体" w:cs="Times New Roman"/>
          <w:color w:val="000000"/>
          <w:kern w:val="0"/>
          <w:szCs w:val="21"/>
          <w:highlight w:val="none"/>
        </w:rPr>
        <w:t xml:space="preserve">（2）能够根据系统特征对被评估对象重要性进行赋值； </w:t>
      </w:r>
    </w:p>
    <w:p>
      <w:pPr>
        <w:snapToGrid w:val="0"/>
        <w:spacing w:line="380" w:lineRule="exact"/>
        <w:ind w:firstLine="420" w:firstLineChars="200"/>
        <w:outlineLvl w:val="0"/>
        <w:rPr>
          <w:rFonts w:ascii="宋体" w:hAnsi="宋体" w:eastAsia="宋体" w:cs="Times New Roman"/>
          <w:color w:val="000000"/>
          <w:kern w:val="0"/>
          <w:szCs w:val="21"/>
          <w:highlight w:val="none"/>
        </w:rPr>
      </w:pPr>
      <w:r>
        <w:rPr>
          <w:rFonts w:hint="eastAsia" w:ascii="宋体" w:hAnsi="宋体" w:eastAsia="宋体" w:cs="Times New Roman"/>
          <w:color w:val="000000"/>
          <w:kern w:val="0"/>
          <w:szCs w:val="21"/>
          <w:highlight w:val="none"/>
        </w:rPr>
        <w:t>（3）能够制定简单的被评估对象的核查列表。</w:t>
      </w:r>
    </w:p>
    <w:p>
      <w:pPr>
        <w:snapToGrid w:val="0"/>
        <w:spacing w:line="380" w:lineRule="exact"/>
        <w:ind w:firstLine="420" w:firstLineChars="200"/>
        <w:outlineLvl w:val="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2.</w:t>
      </w:r>
      <w:r>
        <w:rPr>
          <w:rFonts w:hint="eastAsia" w:ascii="宋体" w:hAnsi="宋体" w:eastAsia="宋体" w:cs="Times New Roman"/>
          <w:color w:val="000000"/>
          <w:kern w:val="0"/>
          <w:szCs w:val="21"/>
          <w:highlight w:val="none"/>
        </w:rPr>
        <w:t>安全规划设计师</w:t>
      </w:r>
      <w:r>
        <w:rPr>
          <w:rFonts w:hint="eastAsia" w:ascii="宋体" w:hAnsi="宋体" w:eastAsia="宋体" w:cs="Times New Roman"/>
          <w:color w:val="000000"/>
          <w:szCs w:val="21"/>
          <w:highlight w:val="none"/>
        </w:rPr>
        <w:t>，其主要工作项目为：</w:t>
      </w:r>
    </w:p>
    <w:p>
      <w:pPr>
        <w:snapToGrid w:val="0"/>
        <w:spacing w:line="380" w:lineRule="exact"/>
        <w:ind w:firstLine="420" w:firstLineChars="200"/>
        <w:outlineLvl w:val="0"/>
        <w:rPr>
          <w:rFonts w:ascii="宋体" w:hAnsi="宋体" w:eastAsia="宋体" w:cs="Times New Roman"/>
          <w:color w:val="000000"/>
          <w:kern w:val="0"/>
          <w:szCs w:val="21"/>
          <w:highlight w:val="none"/>
        </w:rPr>
      </w:pPr>
      <w:r>
        <w:rPr>
          <w:rFonts w:hint="eastAsia" w:ascii="宋体" w:hAnsi="宋体" w:eastAsia="宋体" w:cs="Times New Roman"/>
          <w:color w:val="000000"/>
          <w:kern w:val="0"/>
          <w:szCs w:val="21"/>
          <w:highlight w:val="none"/>
        </w:rPr>
        <w:t>（1）具备选择适当技术的规划设计能力；</w:t>
      </w:r>
    </w:p>
    <w:p>
      <w:pPr>
        <w:snapToGrid w:val="0"/>
        <w:spacing w:line="380" w:lineRule="exact"/>
        <w:ind w:firstLine="420" w:firstLineChars="200"/>
        <w:outlineLvl w:val="0"/>
        <w:rPr>
          <w:rFonts w:ascii="宋体" w:hAnsi="宋体" w:eastAsia="宋体" w:cs="Times New Roman"/>
          <w:color w:val="000000"/>
          <w:kern w:val="0"/>
          <w:szCs w:val="21"/>
          <w:highlight w:val="none"/>
        </w:rPr>
      </w:pPr>
      <w:r>
        <w:rPr>
          <w:rFonts w:hint="eastAsia" w:ascii="宋体" w:hAnsi="宋体" w:eastAsia="宋体" w:cs="Times New Roman"/>
          <w:color w:val="000000"/>
          <w:kern w:val="0"/>
          <w:szCs w:val="21"/>
          <w:highlight w:val="none"/>
        </w:rPr>
        <w:t>（2）能够对网络安全方案进行实施检测；</w:t>
      </w:r>
    </w:p>
    <w:p>
      <w:pPr>
        <w:snapToGrid w:val="0"/>
        <w:spacing w:line="380" w:lineRule="exact"/>
        <w:ind w:firstLine="420" w:firstLineChars="200"/>
        <w:outlineLvl w:val="0"/>
        <w:rPr>
          <w:rFonts w:ascii="宋体" w:hAnsi="宋体" w:eastAsia="宋体" w:cs="Times New Roman"/>
          <w:color w:val="000000"/>
          <w:szCs w:val="21"/>
          <w:highlight w:val="none"/>
        </w:rPr>
      </w:pPr>
      <w:r>
        <w:rPr>
          <w:rFonts w:hint="eastAsia" w:ascii="宋体" w:hAnsi="宋体" w:eastAsia="宋体" w:cs="Times New Roman"/>
          <w:color w:val="000000"/>
          <w:kern w:val="0"/>
          <w:szCs w:val="21"/>
          <w:highlight w:val="none"/>
        </w:rPr>
        <w:t>（3）具有系统方案部署与实施能力以及ISP选择与管理能力。</w:t>
      </w:r>
    </w:p>
    <w:p>
      <w:pPr>
        <w:snapToGrid w:val="0"/>
        <w:spacing w:line="380" w:lineRule="exact"/>
        <w:ind w:firstLine="420" w:firstLineChars="200"/>
        <w:outlineLvl w:val="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3.安全服务工程师</w:t>
      </w:r>
    </w:p>
    <w:p>
      <w:pPr>
        <w:snapToGrid w:val="0"/>
        <w:spacing w:line="380" w:lineRule="exact"/>
        <w:ind w:firstLine="420" w:firstLineChars="200"/>
        <w:outlineLvl w:val="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（1）结合重要性和发现的脆弱性进行系统综合风险分析，撰写风险评估报告；</w:t>
      </w:r>
    </w:p>
    <w:p>
      <w:pPr>
        <w:snapToGrid w:val="0"/>
        <w:spacing w:line="380" w:lineRule="exact"/>
        <w:ind w:firstLine="420" w:firstLineChars="200"/>
        <w:outlineLvl w:val="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（2）能够根据应用需求，制订及实施网络安全解决方案；</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cs="Times New Roman"/>
          <w:color w:val="000000"/>
          <w:szCs w:val="21"/>
          <w:highlight w:val="none"/>
        </w:rPr>
        <w:t>（3）能够利用工具对信息系统进行初步的安全评估。</w:t>
      </w:r>
    </w:p>
    <w:p>
      <w:pPr>
        <w:numPr>
          <w:ilvl w:val="0"/>
          <w:numId w:val="2"/>
        </w:numPr>
        <w:snapToGrid w:val="0"/>
        <w:spacing w:line="380" w:lineRule="exact"/>
        <w:outlineLvl w:val="0"/>
        <w:rPr>
          <w:rFonts w:ascii="宋体" w:hAnsi="宋体" w:eastAsia="宋体"/>
          <w:szCs w:val="21"/>
          <w:highlight w:val="none"/>
        </w:rPr>
      </w:pPr>
      <w:r>
        <w:rPr>
          <w:rFonts w:hint="eastAsia" w:ascii="宋体" w:hAnsi="宋体" w:eastAsia="宋体"/>
          <w:szCs w:val="21"/>
          <w:highlight w:val="none"/>
        </w:rPr>
        <w:t>其他岗位及主要工作项目</w:t>
      </w:r>
    </w:p>
    <w:p>
      <w:pPr>
        <w:snapToGrid w:val="0"/>
        <w:spacing w:line="380" w:lineRule="exact"/>
        <w:ind w:firstLine="420" w:firstLineChars="200"/>
        <w:outlineLvl w:val="0"/>
        <w:rPr>
          <w:rFonts w:ascii="Times New Roman" w:eastAsia="宋体" w:cs="Times New Roman"/>
          <w:color w:val="000000"/>
          <w:highlight w:val="none"/>
        </w:rPr>
      </w:pPr>
      <w:r>
        <w:rPr>
          <w:rFonts w:hint="eastAsia" w:ascii="宋体" w:hAnsi="宋体" w:eastAsia="宋体" w:cs="Times New Roman"/>
          <w:color w:val="000000"/>
          <w:szCs w:val="21"/>
          <w:highlight w:val="none"/>
        </w:rPr>
        <w:t>1.安全产品销售</w:t>
      </w:r>
      <w:r>
        <w:rPr>
          <w:rFonts w:hint="eastAsia" w:ascii="Times New Roman" w:eastAsia="宋体" w:cs="Times New Roman"/>
          <w:color w:val="000000"/>
          <w:highlight w:val="none"/>
        </w:rPr>
        <w:t>，其主要工作项目为：</w:t>
      </w:r>
    </w:p>
    <w:p>
      <w:pPr>
        <w:numPr>
          <w:ilvl w:val="0"/>
          <w:numId w:val="3"/>
        </w:numPr>
        <w:snapToGrid w:val="0"/>
        <w:spacing w:line="380" w:lineRule="exact"/>
        <w:ind w:firstLine="420" w:firstLineChars="200"/>
        <w:outlineLvl w:val="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根据市场调查结果，积极开拓市场，不断提升公司产品市场占有率；</w:t>
      </w:r>
    </w:p>
    <w:p>
      <w:pPr>
        <w:numPr>
          <w:ilvl w:val="0"/>
          <w:numId w:val="3"/>
        </w:numPr>
        <w:snapToGrid w:val="0"/>
        <w:spacing w:line="380" w:lineRule="exact"/>
        <w:ind w:firstLine="420" w:firstLineChars="200"/>
        <w:outlineLvl w:val="0"/>
        <w:rPr>
          <w:rFonts w:ascii="宋体" w:hAnsi="宋体" w:eastAsia="宋体" w:cs="Times New Roman"/>
          <w:color w:val="000000"/>
          <w:szCs w:val="21"/>
          <w:highlight w:val="none"/>
        </w:rPr>
      </w:pPr>
      <w:r>
        <w:rPr>
          <w:rFonts w:hint="eastAsia" w:ascii="Times New Roman" w:eastAsia="宋体" w:cs="Times New Roman"/>
          <w:color w:val="000000"/>
          <w:highlight w:val="none"/>
        </w:rPr>
        <w:t>对客户需求进行分析并提供解决方案，以及日常客户关系维护，增加客户忠诚度；</w:t>
      </w:r>
    </w:p>
    <w:p>
      <w:pPr>
        <w:numPr>
          <w:ilvl w:val="0"/>
          <w:numId w:val="3"/>
        </w:numPr>
        <w:snapToGrid w:val="0"/>
        <w:spacing w:line="380" w:lineRule="exact"/>
        <w:ind w:firstLine="420" w:firstLineChars="200"/>
        <w:outlineLvl w:val="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完成售后服务工作，走访客户，及时处理好客户投诉，保证客户满意，提高企业信誉；</w:t>
      </w:r>
    </w:p>
    <w:p>
      <w:pPr>
        <w:snapToGrid w:val="0"/>
        <w:spacing w:line="380" w:lineRule="exact"/>
        <w:ind w:firstLine="420" w:firstLineChars="200"/>
        <w:outlineLvl w:val="0"/>
        <w:rPr>
          <w:rFonts w:ascii="宋体" w:hAnsi="宋体" w:eastAsia="宋体"/>
          <w:szCs w:val="21"/>
          <w:highlight w:val="none"/>
        </w:rPr>
      </w:pPr>
      <w:r>
        <w:rPr>
          <w:rFonts w:hint="eastAsia" w:ascii="宋体" w:hAnsi="宋体" w:eastAsia="宋体" w:cs="Times New Roman"/>
          <w:color w:val="000000"/>
          <w:szCs w:val="21"/>
          <w:highlight w:val="none"/>
        </w:rPr>
        <w:t>（4）</w:t>
      </w:r>
      <w:r>
        <w:rPr>
          <w:rFonts w:hint="eastAsia" w:ascii="Times New Roman" w:eastAsia="宋体" w:cs="Times New Roman"/>
          <w:color w:val="000000"/>
          <w:highlight w:val="none"/>
        </w:rPr>
        <w:t>根据公司年度计划完成既定销售业绩目标</w:t>
      </w:r>
      <w:r>
        <w:rPr>
          <w:rFonts w:hint="eastAsia" w:ascii="宋体" w:hAnsi="宋体" w:eastAsia="宋体" w:cs="Times New Roman"/>
          <w:color w:val="000000"/>
          <w:szCs w:val="21"/>
          <w:highlight w:val="none"/>
        </w:rPr>
        <w:t>。</w:t>
      </w:r>
    </w:p>
    <w:p>
      <w:pPr>
        <w:snapToGrid w:val="0"/>
        <w:spacing w:line="380" w:lineRule="exact"/>
        <w:ind w:left="482"/>
        <w:outlineLvl w:val="0"/>
        <w:rPr>
          <w:rFonts w:ascii="宋体" w:hAnsi="宋体" w:eastAsia="宋体"/>
          <w:highlight w:val="none"/>
        </w:rPr>
      </w:pPr>
      <w:r>
        <w:rPr>
          <w:rFonts w:ascii="宋体" w:hAnsi="宋体" w:eastAsia="宋体"/>
          <w:b/>
          <w:sz w:val="24"/>
          <w:highlight w:val="none"/>
        </w:rPr>
        <w:t>四、</w:t>
      </w:r>
      <w:r>
        <w:rPr>
          <w:rFonts w:hint="eastAsia" w:ascii="宋体" w:hAnsi="宋体" w:eastAsia="宋体"/>
          <w:b/>
          <w:sz w:val="24"/>
          <w:highlight w:val="none"/>
        </w:rPr>
        <w:t>人才规格</w:t>
      </w:r>
    </w:p>
    <w:p>
      <w:pPr>
        <w:snapToGrid w:val="0"/>
        <w:spacing w:line="380" w:lineRule="exact"/>
        <w:ind w:firstLine="420" w:firstLineChars="200"/>
        <w:outlineLvl w:val="0"/>
        <w:rPr>
          <w:rFonts w:ascii="Times New Roman" w:eastAsia="宋体" w:cs="Times New Roman"/>
          <w:highlight w:val="none"/>
        </w:rPr>
      </w:pPr>
      <w:r>
        <w:rPr>
          <w:rFonts w:hint="eastAsia" w:ascii="Times New Roman" w:eastAsia="宋体" w:cs="Times New Roman"/>
          <w:highlight w:val="none"/>
        </w:rPr>
        <w:t>（一）通用职业能力和素质</w:t>
      </w:r>
    </w:p>
    <w:p>
      <w:pPr>
        <w:numPr>
          <w:ilvl w:val="0"/>
          <w:numId w:val="4"/>
        </w:numPr>
        <w:snapToGrid w:val="0"/>
        <w:spacing w:line="380" w:lineRule="exact"/>
        <w:ind w:firstLine="420" w:firstLineChars="200"/>
        <w:outlineLvl w:val="0"/>
        <w:rPr>
          <w:rFonts w:ascii="宋体" w:hAnsi="宋体" w:eastAsia="宋体" w:cs="Times New Roman"/>
          <w:szCs w:val="21"/>
          <w:highlight w:val="none"/>
        </w:rPr>
      </w:pPr>
      <w:r>
        <w:rPr>
          <w:rFonts w:hint="eastAsia" w:ascii="宋体" w:hAnsi="宋体" w:eastAsia="宋体" w:cs="Times New Roman"/>
          <w:szCs w:val="21"/>
          <w:highlight w:val="none"/>
        </w:rPr>
        <w:t>思想政治素质：热爱社会主义祖国，能够准确理解和把握社会主义核心价值观的深刻内涵和实践要求，具有正确的世界观、人生观、价值观。</w:t>
      </w:r>
    </w:p>
    <w:p>
      <w:pPr>
        <w:numPr>
          <w:ilvl w:val="0"/>
          <w:numId w:val="4"/>
        </w:numPr>
        <w:snapToGrid w:val="0"/>
        <w:spacing w:line="380" w:lineRule="exact"/>
        <w:ind w:firstLine="420" w:firstLineChars="200"/>
        <w:outlineLvl w:val="0"/>
        <w:rPr>
          <w:rFonts w:ascii="宋体" w:hAnsi="宋体" w:eastAsia="宋体" w:cs="Times New Roman"/>
          <w:szCs w:val="21"/>
          <w:highlight w:val="none"/>
        </w:rPr>
      </w:pPr>
      <w:r>
        <w:rPr>
          <w:rFonts w:hint="eastAsia" w:ascii="宋体" w:hAnsi="宋体" w:eastAsia="宋体" w:cs="Times New Roman"/>
          <w:szCs w:val="21"/>
          <w:highlight w:val="none"/>
        </w:rPr>
        <w:t>身心素质：掌握</w:t>
      </w:r>
      <w:r>
        <w:rPr>
          <w:rFonts w:hint="eastAsia" w:ascii="宋体" w:hAnsi="宋体" w:eastAsia="宋体" w:cs="宋体"/>
          <w:kern w:val="0"/>
          <w:szCs w:val="21"/>
          <w:highlight w:val="none"/>
        </w:rPr>
        <w:t>常规体育运动项目的基础知识和基本技能，掌握有关身体健康的知识和健身方法，体能测试基本合格，提高大学生心理健康水平，增强自我调适的能力；使学生能正确认识自我，悦纳自我，热爱生命，善待他人，增强调控自我、承受挫折、适应环境的能力。</w:t>
      </w:r>
    </w:p>
    <w:p>
      <w:pPr>
        <w:numPr>
          <w:ilvl w:val="0"/>
          <w:numId w:val="4"/>
        </w:numPr>
        <w:snapToGrid w:val="0"/>
        <w:spacing w:line="380" w:lineRule="exact"/>
        <w:ind w:firstLine="420" w:firstLineChars="200"/>
        <w:outlineLvl w:val="0"/>
        <w:rPr>
          <w:rFonts w:ascii="宋体" w:hAnsi="宋体" w:eastAsia="宋体" w:cs="Times New Roman"/>
          <w:szCs w:val="21"/>
          <w:highlight w:val="none"/>
        </w:rPr>
      </w:pPr>
      <w:r>
        <w:rPr>
          <w:rFonts w:hint="eastAsia" w:ascii="宋体" w:hAnsi="宋体" w:eastAsia="宋体" w:cs="Times New Roman"/>
          <w:szCs w:val="21"/>
          <w:highlight w:val="none"/>
        </w:rPr>
        <w:t>文化素质：提升大学生的人文素养和文化底蕴，培养沟通交流、阅读理解、应用写作、文学鉴赏，促进学生的专业学习和综合素质提升。</w:t>
      </w:r>
    </w:p>
    <w:p>
      <w:pPr>
        <w:numPr>
          <w:ilvl w:val="0"/>
          <w:numId w:val="4"/>
        </w:numPr>
        <w:snapToGrid w:val="0"/>
        <w:spacing w:line="380" w:lineRule="exact"/>
        <w:ind w:firstLine="420" w:firstLineChars="200"/>
        <w:outlineLvl w:val="0"/>
        <w:rPr>
          <w:rFonts w:ascii="宋体" w:hAnsi="宋体" w:eastAsia="宋体" w:cs="Times New Roman"/>
          <w:szCs w:val="21"/>
          <w:highlight w:val="none"/>
        </w:rPr>
      </w:pPr>
      <w:r>
        <w:rPr>
          <w:rFonts w:hint="eastAsia" w:ascii="宋体" w:hAnsi="宋体" w:eastAsia="宋体" w:cs="Times New Roman"/>
          <w:szCs w:val="21"/>
          <w:highlight w:val="none"/>
        </w:rPr>
        <w:t>职业素质：树立正确的职业价值观、良好的职业精神、遵守职业法规、坚守职业理想。</w:t>
      </w:r>
    </w:p>
    <w:p>
      <w:pPr>
        <w:numPr>
          <w:ilvl w:val="0"/>
          <w:numId w:val="4"/>
        </w:numPr>
        <w:snapToGrid w:val="0"/>
        <w:spacing w:line="380" w:lineRule="exact"/>
        <w:ind w:firstLine="420" w:firstLineChars="200"/>
        <w:outlineLvl w:val="0"/>
        <w:rPr>
          <w:rFonts w:ascii="宋体" w:hAnsi="宋体" w:eastAsia="宋体" w:cs="Times New Roman"/>
          <w:szCs w:val="21"/>
          <w:highlight w:val="none"/>
        </w:rPr>
      </w:pPr>
      <w:r>
        <w:rPr>
          <w:rFonts w:hint="eastAsia" w:ascii="宋体" w:hAnsi="宋体" w:eastAsia="宋体" w:cs="Times New Roman"/>
          <w:szCs w:val="21"/>
          <w:highlight w:val="none"/>
        </w:rPr>
        <w:t>基本通用能力：提升通用基础能力，包括自我学习管理能力、数字运用能力、信息处理能力和中文外语能力。</w:t>
      </w:r>
    </w:p>
    <w:p>
      <w:pPr>
        <w:numPr>
          <w:ilvl w:val="0"/>
          <w:numId w:val="4"/>
        </w:numPr>
        <w:snapToGrid w:val="0"/>
        <w:spacing w:line="380" w:lineRule="exact"/>
        <w:ind w:firstLine="420" w:firstLineChars="200"/>
        <w:outlineLvl w:val="0"/>
        <w:rPr>
          <w:rFonts w:ascii="宋体" w:hAnsi="宋体" w:eastAsia="宋体" w:cs="Times New Roman"/>
          <w:szCs w:val="21"/>
          <w:highlight w:val="none"/>
        </w:rPr>
      </w:pPr>
      <w:r>
        <w:rPr>
          <w:rFonts w:hint="eastAsia" w:ascii="宋体" w:hAnsi="宋体" w:eastAsia="宋体" w:cs="Times New Roman"/>
          <w:szCs w:val="21"/>
          <w:highlight w:val="none"/>
        </w:rPr>
        <w:t>关键社会能力：促进有效参与社会实践、提升社会担当意识，包括交流沟通、团队合作、社会责任和社会认知能力。</w:t>
      </w:r>
    </w:p>
    <w:p>
      <w:pPr>
        <w:numPr>
          <w:ilvl w:val="0"/>
          <w:numId w:val="4"/>
        </w:numPr>
        <w:snapToGrid w:val="0"/>
        <w:spacing w:line="380" w:lineRule="exact"/>
        <w:ind w:firstLine="420" w:firstLineChars="200"/>
        <w:outlineLvl w:val="0"/>
        <w:rPr>
          <w:rFonts w:ascii="宋体" w:hAnsi="宋体" w:eastAsia="宋体" w:cs="Times New Roman"/>
          <w:szCs w:val="21"/>
          <w:highlight w:val="none"/>
        </w:rPr>
      </w:pPr>
      <w:r>
        <w:rPr>
          <w:rFonts w:hint="eastAsia" w:ascii="宋体" w:hAnsi="宋体" w:eastAsia="宋体" w:cs="Times New Roman"/>
          <w:szCs w:val="21"/>
          <w:highlight w:val="none"/>
        </w:rPr>
        <w:t>创新创业能力：培养良好的创新精神、创造性思维，促进参与创业实践，提升复合型能力和综合素质。</w:t>
      </w:r>
    </w:p>
    <w:p>
      <w:pPr>
        <w:numPr>
          <w:ilvl w:val="0"/>
          <w:numId w:val="4"/>
        </w:numPr>
        <w:snapToGrid w:val="0"/>
        <w:spacing w:line="380" w:lineRule="exact"/>
        <w:ind w:firstLine="420" w:firstLineChars="200"/>
        <w:outlineLvl w:val="0"/>
        <w:rPr>
          <w:rFonts w:ascii="宋体" w:hAnsi="宋体" w:eastAsia="宋体" w:cs="Times New Roman"/>
          <w:szCs w:val="21"/>
          <w:highlight w:val="none"/>
        </w:rPr>
      </w:pPr>
      <w:r>
        <w:rPr>
          <w:rFonts w:hint="eastAsia" w:ascii="宋体" w:hAnsi="宋体" w:eastAsia="宋体" w:cs="Times New Roman"/>
          <w:szCs w:val="21"/>
          <w:highlight w:val="none"/>
        </w:rPr>
        <w:t>工匠精神：融“工匠精神”于课程教学中，培养学生敬业、精益、专注等方面的能力，引导学生具有追求极致和卓越、精益求精、配合协作的精神。</w:t>
      </w:r>
    </w:p>
    <w:p>
      <w:pPr>
        <w:snapToGrid w:val="0"/>
        <w:spacing w:line="380" w:lineRule="exact"/>
        <w:outlineLvl w:val="0"/>
        <w:rPr>
          <w:rFonts w:ascii="宋体" w:hAnsi="宋体" w:eastAsia="宋体"/>
          <w:highlight w:val="none"/>
        </w:rPr>
      </w:pPr>
      <w:r>
        <w:rPr>
          <w:rFonts w:hint="eastAsia" w:ascii="宋体" w:hAnsi="宋体" w:eastAsia="宋体"/>
          <w:highlight w:val="none"/>
        </w:rPr>
        <w:t xml:space="preserve">    （二）专业职业能力及职业素质</w:t>
      </w:r>
    </w:p>
    <w:p>
      <w:pPr>
        <w:snapToGrid w:val="0"/>
        <w:spacing w:line="380" w:lineRule="exact"/>
        <w:ind w:firstLine="420" w:firstLineChars="200"/>
        <w:outlineLvl w:val="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1. 网络空间安全运维能力</w:t>
      </w:r>
    </w:p>
    <w:p>
      <w:pPr>
        <w:snapToGrid w:val="0"/>
        <w:spacing w:line="380" w:lineRule="exact"/>
        <w:ind w:firstLine="420" w:firstLineChars="200"/>
        <w:outlineLvl w:val="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具有网络安全运维综合实践应用的能力；</w:t>
      </w:r>
    </w:p>
    <w:p>
      <w:pPr>
        <w:snapToGrid w:val="0"/>
        <w:spacing w:line="380" w:lineRule="exact"/>
        <w:ind w:firstLine="420" w:firstLineChars="200"/>
        <w:outlineLvl w:val="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2. 网络安全服务能力</w:t>
      </w:r>
    </w:p>
    <w:p>
      <w:pPr>
        <w:snapToGrid w:val="0"/>
        <w:spacing w:line="380" w:lineRule="exact"/>
        <w:ind w:firstLine="420" w:firstLineChars="200"/>
        <w:outlineLvl w:val="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具有网络空间安全法律意识、网络安全意识、网络安全技术应用的能力；</w:t>
      </w:r>
    </w:p>
    <w:p>
      <w:pPr>
        <w:snapToGrid w:val="0"/>
        <w:spacing w:line="380" w:lineRule="exact"/>
        <w:ind w:firstLine="420" w:firstLineChars="200"/>
        <w:outlineLvl w:val="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3. 岗位认知能力</w:t>
      </w:r>
    </w:p>
    <w:p>
      <w:pPr>
        <w:snapToGrid w:val="0"/>
        <w:spacing w:line="380" w:lineRule="exact"/>
        <w:ind w:firstLine="420" w:firstLineChars="200"/>
        <w:outlineLvl w:val="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具有岗位认知、初级岗位需求的能力。</w:t>
      </w:r>
    </w:p>
    <w:p>
      <w:pPr>
        <w:snapToGrid w:val="0"/>
        <w:spacing w:line="380" w:lineRule="exact"/>
        <w:outlineLvl w:val="0"/>
        <w:rPr>
          <w:rFonts w:ascii="宋体" w:hAnsi="宋体" w:eastAsia="宋体"/>
          <w:highlight w:val="none"/>
        </w:rPr>
      </w:pPr>
      <w:r>
        <w:rPr>
          <w:rFonts w:hint="eastAsia" w:ascii="宋体" w:hAnsi="宋体" w:eastAsia="宋体"/>
          <w:highlight w:val="none"/>
        </w:rPr>
        <w:t xml:space="preserve">    （三）职业资格证书要求</w:t>
      </w:r>
    </w:p>
    <w:p>
      <w:pPr>
        <w:ind w:firstLine="420" w:firstLineChars="200"/>
        <w:rPr>
          <w:rFonts w:ascii="宋体" w:hAnsi="宋体" w:eastAsia="宋体"/>
          <w:bCs/>
          <w:szCs w:val="21"/>
          <w:highlight w:val="none"/>
        </w:rPr>
      </w:pPr>
      <w:r>
        <w:rPr>
          <w:rFonts w:hint="eastAsia" w:ascii="宋体" w:hAnsi="宋体" w:eastAsia="宋体"/>
          <w:bCs/>
          <w:szCs w:val="21"/>
          <w:highlight w:val="none"/>
        </w:rPr>
        <w:t>组织学生在第四学期，自愿参加工信部网络工程师认证，或者参加全国计算机技术与软件专业技术资格（水平）考试，获取网络安全工程师或网络工程师资格证书。</w:t>
      </w:r>
    </w:p>
    <w:p>
      <w:pPr>
        <w:numPr>
          <w:ilvl w:val="0"/>
          <w:numId w:val="5"/>
        </w:numPr>
        <w:snapToGrid w:val="0"/>
        <w:spacing w:line="380" w:lineRule="exact"/>
        <w:outlineLvl w:val="0"/>
        <w:rPr>
          <w:rFonts w:ascii="宋体" w:hAnsi="宋体" w:eastAsia="宋体"/>
          <w:b/>
          <w:sz w:val="24"/>
          <w:highlight w:val="none"/>
        </w:rPr>
      </w:pPr>
      <w:r>
        <w:rPr>
          <w:rFonts w:hint="eastAsia" w:ascii="宋体" w:hAnsi="宋体" w:eastAsia="宋体"/>
          <w:b/>
          <w:sz w:val="24"/>
          <w:highlight w:val="none"/>
        </w:rPr>
        <w:t>人才规格与对应的课程</w:t>
      </w:r>
    </w:p>
    <w:tbl>
      <w:tblPr>
        <w:tblStyle w:val="13"/>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418"/>
        <w:gridCol w:w="1701"/>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Align w:val="center"/>
          </w:tcPr>
          <w:p>
            <w:pPr>
              <w:spacing w:line="300" w:lineRule="exact"/>
              <w:jc w:val="center"/>
              <w:rPr>
                <w:rFonts w:ascii="宋体" w:hAnsi="宋体" w:eastAsia="宋体"/>
                <w:bCs/>
                <w:sz w:val="18"/>
                <w:highlight w:val="none"/>
              </w:rPr>
            </w:pPr>
            <w:r>
              <w:rPr>
                <w:rFonts w:hint="eastAsia" w:ascii="宋体" w:hAnsi="宋体" w:eastAsia="宋体"/>
                <w:bCs/>
                <w:sz w:val="18"/>
                <w:highlight w:val="none"/>
              </w:rPr>
              <w:t>类别</w:t>
            </w:r>
          </w:p>
        </w:tc>
        <w:tc>
          <w:tcPr>
            <w:tcW w:w="1418" w:type="dxa"/>
            <w:vAlign w:val="center"/>
          </w:tcPr>
          <w:p>
            <w:pPr>
              <w:spacing w:line="300" w:lineRule="exact"/>
              <w:jc w:val="center"/>
              <w:rPr>
                <w:rFonts w:ascii="宋体" w:hAnsi="宋体" w:eastAsia="宋体"/>
                <w:bCs/>
                <w:sz w:val="18"/>
                <w:highlight w:val="none"/>
              </w:rPr>
            </w:pPr>
            <w:r>
              <w:rPr>
                <w:rFonts w:hint="eastAsia" w:ascii="宋体" w:hAnsi="宋体" w:eastAsia="宋体"/>
                <w:bCs/>
                <w:sz w:val="18"/>
                <w:highlight w:val="none"/>
              </w:rPr>
              <w:t>能力和素质</w:t>
            </w:r>
          </w:p>
          <w:p>
            <w:pPr>
              <w:spacing w:line="300" w:lineRule="exact"/>
              <w:jc w:val="center"/>
              <w:rPr>
                <w:rFonts w:ascii="宋体" w:hAnsi="宋体" w:eastAsia="宋体"/>
                <w:bCs/>
                <w:sz w:val="18"/>
                <w:highlight w:val="none"/>
              </w:rPr>
            </w:pPr>
            <w:r>
              <w:rPr>
                <w:rFonts w:hint="eastAsia" w:ascii="宋体" w:hAnsi="宋体" w:eastAsia="宋体"/>
                <w:bCs/>
                <w:sz w:val="18"/>
                <w:highlight w:val="none"/>
              </w:rPr>
              <w:t>名称</w:t>
            </w:r>
          </w:p>
        </w:tc>
        <w:tc>
          <w:tcPr>
            <w:tcW w:w="1701" w:type="dxa"/>
            <w:vAlign w:val="center"/>
          </w:tcPr>
          <w:p>
            <w:pPr>
              <w:spacing w:line="300" w:lineRule="exact"/>
              <w:jc w:val="center"/>
              <w:rPr>
                <w:rFonts w:ascii="宋体" w:hAnsi="宋体" w:eastAsia="宋体"/>
                <w:bCs/>
                <w:sz w:val="18"/>
                <w:highlight w:val="none"/>
              </w:rPr>
            </w:pPr>
            <w:r>
              <w:rPr>
                <w:rFonts w:hint="eastAsia" w:ascii="宋体" w:hAnsi="宋体" w:eastAsia="宋体"/>
                <w:bCs/>
                <w:sz w:val="18"/>
                <w:highlight w:val="none"/>
              </w:rPr>
              <w:t>具体培养目标</w:t>
            </w:r>
          </w:p>
        </w:tc>
        <w:tc>
          <w:tcPr>
            <w:tcW w:w="5115" w:type="dxa"/>
            <w:vAlign w:val="center"/>
          </w:tcPr>
          <w:p>
            <w:pPr>
              <w:spacing w:line="300" w:lineRule="exact"/>
              <w:jc w:val="center"/>
              <w:rPr>
                <w:rFonts w:ascii="宋体" w:hAnsi="宋体" w:eastAsia="宋体"/>
                <w:bCs/>
                <w:sz w:val="18"/>
                <w:highlight w:val="none"/>
              </w:rPr>
            </w:pPr>
            <w:r>
              <w:rPr>
                <w:rFonts w:hint="eastAsia" w:ascii="宋体" w:hAnsi="宋体" w:eastAsia="宋体"/>
                <w:bCs/>
                <w:sz w:val="18"/>
                <w:highlight w:val="none"/>
              </w:rPr>
              <w:t>对应的课程/活动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restart"/>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通用职业能力和素质</w:t>
            </w:r>
          </w:p>
        </w:tc>
        <w:tc>
          <w:tcPr>
            <w:tcW w:w="1418" w:type="dxa"/>
            <w:vMerge w:val="restart"/>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思想政治素质</w:t>
            </w:r>
          </w:p>
        </w:tc>
        <w:tc>
          <w:tcPr>
            <w:tcW w:w="1701" w:type="dxa"/>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高尚的思想境界</w:t>
            </w:r>
          </w:p>
        </w:tc>
        <w:tc>
          <w:tcPr>
            <w:tcW w:w="5115" w:type="dxa"/>
            <w:vAlign w:val="center"/>
          </w:tcPr>
          <w:p>
            <w:pPr>
              <w:spacing w:line="240" w:lineRule="exact"/>
              <w:jc w:val="left"/>
              <w:rPr>
                <w:rFonts w:ascii="宋体" w:hAnsi="宋体" w:eastAsia="宋体"/>
                <w:bCs/>
                <w:sz w:val="18"/>
                <w:highlight w:val="none"/>
              </w:rPr>
            </w:pPr>
            <w:r>
              <w:rPr>
                <w:rFonts w:hint="eastAsia" w:ascii="宋体" w:hAnsi="宋体" w:eastAsia="宋体"/>
                <w:bCs/>
                <w:sz w:val="18"/>
                <w:highlight w:val="none"/>
              </w:rPr>
              <w:t>思想道德与法治</w:t>
            </w:r>
            <w:r>
              <w:rPr>
                <w:rFonts w:hint="eastAsia" w:ascii="宋体" w:hAnsi="宋体" w:eastAsia="宋体"/>
                <w:bCs/>
                <w:sz w:val="18"/>
                <w:szCs w:val="18"/>
                <w:highlight w:val="none"/>
              </w:rPr>
              <w:t>、</w:t>
            </w:r>
            <w:r>
              <w:rPr>
                <w:rFonts w:hint="eastAsia" w:ascii="宋体" w:hAnsi="宋体" w:eastAsia="宋体"/>
                <w:kern w:val="0"/>
                <w:sz w:val="18"/>
                <w:szCs w:val="18"/>
                <w:highlight w:val="none"/>
              </w:rPr>
              <w:t>毛泽东思想和中国特色社会主义理论体系概论、形势与政策、五粮文化育人学思践悟、红色文化十讲、各类专业课程；凌志讲坛、弘扬井冈山精神等相关实践活动等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highlight w:val="none"/>
              </w:rPr>
            </w:pPr>
          </w:p>
        </w:tc>
        <w:tc>
          <w:tcPr>
            <w:tcW w:w="1418" w:type="dxa"/>
            <w:vMerge w:val="continue"/>
            <w:vAlign w:val="center"/>
          </w:tcPr>
          <w:p>
            <w:pPr>
              <w:spacing w:line="240" w:lineRule="exact"/>
              <w:jc w:val="center"/>
              <w:rPr>
                <w:rFonts w:ascii="宋体" w:hAnsi="宋体" w:eastAsia="宋体"/>
                <w:bCs/>
                <w:sz w:val="18"/>
                <w:highlight w:val="none"/>
              </w:rPr>
            </w:pPr>
          </w:p>
        </w:tc>
        <w:tc>
          <w:tcPr>
            <w:tcW w:w="1701" w:type="dxa"/>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敏锐的政治觉悟</w:t>
            </w:r>
          </w:p>
        </w:tc>
        <w:tc>
          <w:tcPr>
            <w:tcW w:w="5115" w:type="dxa"/>
            <w:vAlign w:val="center"/>
          </w:tcPr>
          <w:p>
            <w:pPr>
              <w:spacing w:line="240" w:lineRule="exact"/>
              <w:jc w:val="left"/>
              <w:rPr>
                <w:rFonts w:ascii="宋体" w:hAnsi="宋体" w:eastAsia="宋体"/>
                <w:bCs/>
                <w:sz w:val="18"/>
                <w:highlight w:val="none"/>
              </w:rPr>
            </w:pPr>
            <w:r>
              <w:rPr>
                <w:rFonts w:hint="eastAsia" w:ascii="宋体" w:hAnsi="宋体" w:eastAsia="宋体"/>
                <w:bCs/>
                <w:sz w:val="18"/>
                <w:highlight w:val="none"/>
              </w:rPr>
              <w:t>思想道德与法治</w:t>
            </w:r>
            <w:r>
              <w:rPr>
                <w:rFonts w:hint="eastAsia" w:ascii="宋体" w:hAnsi="宋体" w:eastAsia="宋体"/>
                <w:bCs/>
                <w:sz w:val="18"/>
                <w:szCs w:val="18"/>
                <w:highlight w:val="none"/>
              </w:rPr>
              <w:t>、</w:t>
            </w:r>
            <w:r>
              <w:rPr>
                <w:rFonts w:hint="eastAsia" w:ascii="宋体" w:hAnsi="宋体" w:eastAsia="宋体"/>
                <w:kern w:val="0"/>
                <w:sz w:val="18"/>
                <w:szCs w:val="18"/>
                <w:highlight w:val="none"/>
              </w:rPr>
              <w:t>毛泽东思想和中国特色社会主义理论体系概论、红色文化十讲、相关活动等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highlight w:val="none"/>
              </w:rPr>
            </w:pPr>
          </w:p>
        </w:tc>
        <w:tc>
          <w:tcPr>
            <w:tcW w:w="1418" w:type="dxa"/>
            <w:vMerge w:val="continue"/>
            <w:vAlign w:val="center"/>
          </w:tcPr>
          <w:p>
            <w:pPr>
              <w:spacing w:line="240" w:lineRule="exact"/>
              <w:jc w:val="center"/>
              <w:rPr>
                <w:rFonts w:ascii="宋体" w:hAnsi="宋体" w:eastAsia="宋体"/>
                <w:bCs/>
                <w:sz w:val="18"/>
                <w:highlight w:val="none"/>
              </w:rPr>
            </w:pPr>
          </w:p>
        </w:tc>
        <w:tc>
          <w:tcPr>
            <w:tcW w:w="1701" w:type="dxa"/>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优秀的道德品质</w:t>
            </w:r>
          </w:p>
        </w:tc>
        <w:tc>
          <w:tcPr>
            <w:tcW w:w="5115" w:type="dxa"/>
            <w:vAlign w:val="center"/>
          </w:tcPr>
          <w:p>
            <w:pPr>
              <w:spacing w:line="240" w:lineRule="exact"/>
              <w:jc w:val="left"/>
              <w:rPr>
                <w:rFonts w:ascii="宋体" w:hAnsi="宋体" w:eastAsia="宋体"/>
                <w:bCs/>
                <w:sz w:val="18"/>
                <w:highlight w:val="none"/>
              </w:rPr>
            </w:pPr>
            <w:r>
              <w:rPr>
                <w:rFonts w:hint="eastAsia" w:ascii="宋体" w:hAnsi="宋体" w:eastAsia="宋体"/>
                <w:bCs/>
                <w:sz w:val="18"/>
                <w:highlight w:val="none"/>
              </w:rPr>
              <w:t>思想道德与法治</w:t>
            </w:r>
            <w:r>
              <w:rPr>
                <w:rFonts w:hint="eastAsia" w:ascii="宋体" w:hAnsi="宋体" w:eastAsia="宋体"/>
                <w:bCs/>
                <w:sz w:val="18"/>
                <w:szCs w:val="18"/>
                <w:highlight w:val="none"/>
              </w:rPr>
              <w:t>、</w:t>
            </w:r>
            <w:r>
              <w:rPr>
                <w:rFonts w:hint="eastAsia" w:ascii="宋体" w:hAnsi="宋体" w:eastAsia="宋体"/>
                <w:kern w:val="0"/>
                <w:sz w:val="18"/>
                <w:szCs w:val="18"/>
                <w:highlight w:val="none"/>
              </w:rPr>
              <w:t>毛泽东思想和中国特色社会主义理论体系概论、红色文化十讲、相关活动等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highlight w:val="none"/>
              </w:rPr>
            </w:pPr>
          </w:p>
        </w:tc>
        <w:tc>
          <w:tcPr>
            <w:tcW w:w="1418" w:type="dxa"/>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身体素质</w:t>
            </w:r>
          </w:p>
        </w:tc>
        <w:tc>
          <w:tcPr>
            <w:tcW w:w="1701" w:type="dxa"/>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健康的身心</w:t>
            </w:r>
          </w:p>
        </w:tc>
        <w:tc>
          <w:tcPr>
            <w:tcW w:w="5115" w:type="dxa"/>
            <w:vAlign w:val="center"/>
          </w:tcPr>
          <w:p>
            <w:pPr>
              <w:spacing w:line="240" w:lineRule="exact"/>
              <w:jc w:val="left"/>
              <w:rPr>
                <w:rFonts w:ascii="宋体" w:hAnsi="宋体" w:eastAsia="宋体"/>
                <w:bCs/>
                <w:sz w:val="18"/>
                <w:highlight w:val="none"/>
              </w:rPr>
            </w:pPr>
            <w:r>
              <w:rPr>
                <w:rFonts w:hint="eastAsia" w:ascii="宋体" w:hAnsi="宋体" w:eastAsia="宋体"/>
                <w:bCs/>
                <w:sz w:val="18"/>
                <w:highlight w:val="none"/>
              </w:rPr>
              <w:t>体育与健康课、大学生心理健康、大学生健康教育以及围绕锻炼身体的相关体育竞技运动和活动等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highlight w:val="none"/>
              </w:rPr>
            </w:pPr>
          </w:p>
        </w:tc>
        <w:tc>
          <w:tcPr>
            <w:tcW w:w="1418" w:type="dxa"/>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文化素质</w:t>
            </w:r>
          </w:p>
        </w:tc>
        <w:tc>
          <w:tcPr>
            <w:tcW w:w="1701" w:type="dxa"/>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良好的文化底蕴</w:t>
            </w:r>
          </w:p>
        </w:tc>
        <w:tc>
          <w:tcPr>
            <w:tcW w:w="5115" w:type="dxa"/>
            <w:vAlign w:val="center"/>
          </w:tcPr>
          <w:p>
            <w:pPr>
              <w:spacing w:line="240" w:lineRule="exact"/>
              <w:jc w:val="left"/>
              <w:rPr>
                <w:rFonts w:ascii="宋体" w:hAnsi="宋体" w:eastAsia="宋体"/>
                <w:bCs/>
                <w:sz w:val="18"/>
                <w:highlight w:val="none"/>
              </w:rPr>
            </w:pPr>
            <w:r>
              <w:rPr>
                <w:rFonts w:hint="eastAsia" w:ascii="宋体" w:hAnsi="宋体" w:eastAsia="宋体"/>
                <w:bCs/>
                <w:sz w:val="18"/>
                <w:highlight w:val="none"/>
              </w:rPr>
              <w:t>实用大学语文和中华传统文化、音乐鉴赏、影视鉴赏等选修课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highlight w:val="none"/>
              </w:rPr>
            </w:pPr>
          </w:p>
        </w:tc>
        <w:tc>
          <w:tcPr>
            <w:tcW w:w="1418" w:type="dxa"/>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职业素质</w:t>
            </w:r>
          </w:p>
        </w:tc>
        <w:tc>
          <w:tcPr>
            <w:tcW w:w="1701" w:type="dxa"/>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正确的职业价值观</w:t>
            </w:r>
          </w:p>
        </w:tc>
        <w:tc>
          <w:tcPr>
            <w:tcW w:w="5115" w:type="dxa"/>
            <w:vAlign w:val="center"/>
          </w:tcPr>
          <w:p>
            <w:pPr>
              <w:spacing w:line="240" w:lineRule="exact"/>
              <w:jc w:val="left"/>
              <w:rPr>
                <w:rFonts w:ascii="宋体" w:hAnsi="宋体" w:eastAsia="宋体"/>
                <w:bCs/>
                <w:sz w:val="18"/>
                <w:highlight w:val="none"/>
              </w:rPr>
            </w:pPr>
            <w:r>
              <w:rPr>
                <w:rFonts w:hint="eastAsia" w:ascii="宋体" w:hAnsi="宋体" w:eastAsia="宋体"/>
                <w:kern w:val="0"/>
                <w:sz w:val="18"/>
                <w:szCs w:val="18"/>
                <w:highlight w:val="none"/>
              </w:rPr>
              <w:t>思想道德与法治、</w:t>
            </w:r>
            <w:r>
              <w:rPr>
                <w:rFonts w:hint="eastAsia" w:ascii="宋体" w:hAnsi="宋体" w:eastAsia="宋体"/>
                <w:bCs/>
                <w:kern w:val="0"/>
                <w:sz w:val="18"/>
                <w:szCs w:val="18"/>
                <w:highlight w:val="none"/>
              </w:rPr>
              <w:t>入学适应与职业规划、</w:t>
            </w:r>
            <w:r>
              <w:rPr>
                <w:rFonts w:hint="eastAsia" w:ascii="宋体" w:hAnsi="宋体" w:eastAsia="宋体"/>
                <w:kern w:val="0"/>
                <w:sz w:val="18"/>
                <w:szCs w:val="18"/>
                <w:highlight w:val="none"/>
              </w:rPr>
              <w:t>大学生创新创业基础、大学生就业指导、选修课、相关活动等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998" w:type="dxa"/>
            <w:vMerge w:val="continue"/>
            <w:vAlign w:val="center"/>
          </w:tcPr>
          <w:p>
            <w:pPr>
              <w:spacing w:line="240" w:lineRule="exact"/>
              <w:jc w:val="center"/>
              <w:rPr>
                <w:rFonts w:ascii="宋体" w:hAnsi="宋体" w:eastAsia="宋体"/>
                <w:bCs/>
                <w:sz w:val="18"/>
                <w:highlight w:val="none"/>
              </w:rPr>
            </w:pPr>
          </w:p>
        </w:tc>
        <w:tc>
          <w:tcPr>
            <w:tcW w:w="1418" w:type="dxa"/>
            <w:vMerge w:val="restart"/>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基本通用能力</w:t>
            </w:r>
          </w:p>
        </w:tc>
        <w:tc>
          <w:tcPr>
            <w:tcW w:w="1701" w:type="dxa"/>
            <w:vAlign w:val="center"/>
          </w:tcPr>
          <w:p>
            <w:pPr>
              <w:spacing w:line="240" w:lineRule="exact"/>
              <w:jc w:val="center"/>
              <w:rPr>
                <w:rFonts w:ascii="宋体" w:hAnsi="宋体" w:eastAsia="宋体"/>
                <w:bCs/>
                <w:sz w:val="18"/>
                <w:highlight w:val="none"/>
              </w:rPr>
            </w:pPr>
            <w:r>
              <w:rPr>
                <w:rFonts w:hint="eastAsia" w:ascii="宋体" w:hAnsi="宋体" w:eastAsia="宋体"/>
                <w:bCs/>
                <w:sz w:val="18"/>
                <w:highlight w:val="none"/>
              </w:rPr>
              <w:t>自我学习管理能力、安全意识和防范能力</w:t>
            </w:r>
          </w:p>
        </w:tc>
        <w:tc>
          <w:tcPr>
            <w:tcW w:w="5115" w:type="dxa"/>
            <w:vAlign w:val="center"/>
          </w:tcPr>
          <w:p>
            <w:pPr>
              <w:spacing w:line="240" w:lineRule="exact"/>
              <w:jc w:val="left"/>
              <w:rPr>
                <w:rFonts w:ascii="宋体" w:hAnsi="宋体" w:eastAsia="宋体"/>
                <w:bCs/>
                <w:sz w:val="18"/>
                <w:highlight w:val="none"/>
              </w:rPr>
            </w:pPr>
            <w:r>
              <w:rPr>
                <w:rFonts w:hint="eastAsia" w:ascii="宋体" w:hAnsi="宋体" w:eastAsia="宋体"/>
                <w:bCs/>
                <w:sz w:val="18"/>
                <w:highlight w:val="none"/>
              </w:rPr>
              <w:t>军事训练与军事理论、入学适应与职业规划、大学生心理健康、大学生职业素质修炼、大学生安全教育、大学生健康教育；围绕提高自我学习管理能力的相关活动等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Merge w:val="continue"/>
            <w:vAlign w:val="center"/>
          </w:tcPr>
          <w:p>
            <w:pPr>
              <w:spacing w:line="240" w:lineRule="exact"/>
              <w:jc w:val="center"/>
              <w:rPr>
                <w:rFonts w:ascii="宋体" w:hAnsi="宋体" w:eastAsia="宋体"/>
                <w:sz w:val="18"/>
                <w:highlight w:val="none"/>
              </w:rPr>
            </w:pP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数字运用能力</w:t>
            </w:r>
          </w:p>
        </w:tc>
        <w:tc>
          <w:tcPr>
            <w:tcW w:w="5115" w:type="dxa"/>
            <w:vAlign w:val="center"/>
          </w:tcPr>
          <w:p>
            <w:pPr>
              <w:spacing w:line="240" w:lineRule="exact"/>
              <w:jc w:val="left"/>
              <w:rPr>
                <w:rFonts w:ascii="宋体" w:hAnsi="宋体" w:eastAsia="宋体"/>
                <w:sz w:val="18"/>
                <w:highlight w:val="none"/>
              </w:rPr>
            </w:pPr>
            <w:r>
              <w:rPr>
                <w:rFonts w:hint="eastAsia" w:ascii="宋体" w:hAnsi="宋体" w:eastAsia="宋体"/>
                <w:sz w:val="18"/>
                <w:highlight w:val="none"/>
              </w:rPr>
              <w:t>实用大学数学、数学建模比赛等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Merge w:val="continue"/>
            <w:vAlign w:val="center"/>
          </w:tcPr>
          <w:p>
            <w:pPr>
              <w:spacing w:line="240" w:lineRule="exact"/>
              <w:jc w:val="center"/>
              <w:rPr>
                <w:rFonts w:ascii="宋体" w:hAnsi="宋体" w:eastAsia="宋体"/>
                <w:sz w:val="18"/>
                <w:highlight w:val="none"/>
              </w:rPr>
            </w:pP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信息处理能力</w:t>
            </w:r>
          </w:p>
        </w:tc>
        <w:tc>
          <w:tcPr>
            <w:tcW w:w="5115" w:type="dxa"/>
            <w:vAlign w:val="center"/>
          </w:tcPr>
          <w:p>
            <w:pPr>
              <w:spacing w:line="240" w:lineRule="exact"/>
              <w:jc w:val="left"/>
              <w:rPr>
                <w:rFonts w:ascii="宋体" w:hAnsi="宋体" w:eastAsia="宋体"/>
                <w:sz w:val="18"/>
                <w:highlight w:val="none"/>
              </w:rPr>
            </w:pPr>
            <w:r>
              <w:rPr>
                <w:rFonts w:hint="eastAsia" w:ascii="宋体" w:hAnsi="宋体" w:eastAsia="宋体"/>
                <w:sz w:val="18"/>
                <w:highlight w:val="none"/>
              </w:rPr>
              <w:t>计算机应用基础、OFFICE高级应用、互联网+相关活动等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Merge w:val="continue"/>
            <w:vAlign w:val="center"/>
          </w:tcPr>
          <w:p>
            <w:pPr>
              <w:spacing w:line="240" w:lineRule="exact"/>
              <w:jc w:val="center"/>
              <w:rPr>
                <w:rFonts w:ascii="宋体" w:hAnsi="宋体" w:eastAsia="宋体"/>
                <w:sz w:val="18"/>
                <w:highlight w:val="none"/>
              </w:rPr>
            </w:pP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中文外语能力</w:t>
            </w:r>
          </w:p>
        </w:tc>
        <w:tc>
          <w:tcPr>
            <w:tcW w:w="5115" w:type="dxa"/>
            <w:vAlign w:val="center"/>
          </w:tcPr>
          <w:p>
            <w:pPr>
              <w:spacing w:line="240" w:lineRule="exact"/>
              <w:jc w:val="left"/>
              <w:rPr>
                <w:rFonts w:ascii="宋体" w:hAnsi="宋体" w:eastAsia="宋体"/>
                <w:sz w:val="18"/>
                <w:highlight w:val="none"/>
              </w:rPr>
            </w:pPr>
            <w:r>
              <w:rPr>
                <w:rFonts w:hint="eastAsia" w:ascii="宋体" w:hAnsi="宋体" w:eastAsia="宋体"/>
                <w:sz w:val="18"/>
                <w:highlight w:val="none"/>
              </w:rPr>
              <w:t>实用大学语文、综合英语、艺术修养选修课等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Merge w:val="restart"/>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关键社会能力</w:t>
            </w: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交流沟通能力</w:t>
            </w:r>
          </w:p>
        </w:tc>
        <w:tc>
          <w:tcPr>
            <w:tcW w:w="5115" w:type="dxa"/>
            <w:vAlign w:val="center"/>
          </w:tcPr>
          <w:p>
            <w:pPr>
              <w:spacing w:line="240" w:lineRule="exact"/>
              <w:jc w:val="left"/>
              <w:rPr>
                <w:rFonts w:ascii="宋体" w:hAnsi="宋体" w:eastAsia="宋体"/>
                <w:sz w:val="18"/>
                <w:highlight w:val="none"/>
              </w:rPr>
            </w:pPr>
            <w:r>
              <w:rPr>
                <w:rFonts w:hint="eastAsia" w:ascii="宋体" w:hAnsi="宋体" w:eastAsia="宋体"/>
                <w:sz w:val="18"/>
                <w:highlight w:val="none"/>
              </w:rPr>
              <w:t>实用大学语文、大学生心理健康、大学生职业素质修炼、大学生创新创业基础、创新创业训练与管理、学院、系部相关活动、技能节大赛、通用职业能力大赛等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Merge w:val="continue"/>
            <w:vAlign w:val="center"/>
          </w:tcPr>
          <w:p>
            <w:pPr>
              <w:spacing w:line="240" w:lineRule="exact"/>
              <w:jc w:val="center"/>
              <w:rPr>
                <w:rFonts w:ascii="宋体" w:hAnsi="宋体" w:eastAsia="宋体"/>
                <w:sz w:val="18"/>
                <w:highlight w:val="none"/>
              </w:rPr>
            </w:pP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团队合作能力</w:t>
            </w:r>
          </w:p>
        </w:tc>
        <w:tc>
          <w:tcPr>
            <w:tcW w:w="5115" w:type="dxa"/>
            <w:vAlign w:val="center"/>
          </w:tcPr>
          <w:p>
            <w:pPr>
              <w:spacing w:line="240" w:lineRule="exact"/>
              <w:jc w:val="left"/>
              <w:rPr>
                <w:rFonts w:ascii="宋体" w:hAnsi="宋体" w:eastAsia="宋体"/>
                <w:sz w:val="18"/>
                <w:highlight w:val="none"/>
              </w:rPr>
            </w:pPr>
            <w:r>
              <w:rPr>
                <w:rFonts w:hint="eastAsia" w:ascii="宋体" w:hAnsi="宋体" w:eastAsia="宋体"/>
                <w:sz w:val="18"/>
                <w:highlight w:val="none"/>
              </w:rPr>
              <w:t>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Merge w:val="continue"/>
            <w:vAlign w:val="center"/>
          </w:tcPr>
          <w:p>
            <w:pPr>
              <w:spacing w:line="240" w:lineRule="exact"/>
              <w:jc w:val="center"/>
              <w:rPr>
                <w:rFonts w:ascii="宋体" w:hAnsi="宋体" w:eastAsia="宋体"/>
                <w:sz w:val="18"/>
                <w:highlight w:val="none"/>
              </w:rPr>
            </w:pP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社会责任能力</w:t>
            </w:r>
          </w:p>
        </w:tc>
        <w:tc>
          <w:tcPr>
            <w:tcW w:w="5115" w:type="dxa"/>
            <w:vAlign w:val="center"/>
          </w:tcPr>
          <w:p>
            <w:pPr>
              <w:spacing w:line="240" w:lineRule="exact"/>
              <w:jc w:val="left"/>
              <w:rPr>
                <w:rFonts w:ascii="宋体" w:hAnsi="宋体" w:eastAsia="宋体"/>
                <w:sz w:val="18"/>
                <w:highlight w:val="none"/>
              </w:rPr>
            </w:pPr>
            <w:r>
              <w:rPr>
                <w:rFonts w:hint="eastAsia" w:ascii="宋体" w:hAnsi="宋体" w:eastAsia="宋体"/>
                <w:bCs/>
                <w:sz w:val="18"/>
                <w:highlight w:val="none"/>
              </w:rPr>
              <w:t>军事训练与军事理论、</w:t>
            </w:r>
            <w:r>
              <w:rPr>
                <w:rFonts w:hint="eastAsia" w:ascii="宋体" w:hAnsi="宋体" w:eastAsia="宋体"/>
                <w:sz w:val="18"/>
                <w:highlight w:val="none"/>
              </w:rPr>
              <w:t>思想道德与法治、毛泽东思想和中国特色社会主义理论体系概论、形势与政策、大学生创新创业基础、创新创业训练与管理、学院、系部相关活动、技能节大赛、通用职业能力大赛等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Merge w:val="continue"/>
            <w:vAlign w:val="center"/>
          </w:tcPr>
          <w:p>
            <w:pPr>
              <w:spacing w:line="240" w:lineRule="exact"/>
              <w:jc w:val="center"/>
              <w:rPr>
                <w:rFonts w:ascii="宋体" w:hAnsi="宋体" w:eastAsia="宋体"/>
                <w:sz w:val="18"/>
                <w:highlight w:val="none"/>
              </w:rPr>
            </w:pP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社会认知能力</w:t>
            </w:r>
          </w:p>
        </w:tc>
        <w:tc>
          <w:tcPr>
            <w:tcW w:w="5115" w:type="dxa"/>
            <w:vAlign w:val="center"/>
          </w:tcPr>
          <w:p>
            <w:pPr>
              <w:spacing w:line="240" w:lineRule="exact"/>
              <w:jc w:val="left"/>
              <w:rPr>
                <w:rFonts w:ascii="宋体" w:hAnsi="宋体" w:eastAsia="宋体"/>
                <w:sz w:val="18"/>
                <w:highlight w:val="none"/>
              </w:rPr>
            </w:pPr>
            <w:r>
              <w:rPr>
                <w:rFonts w:hint="eastAsia" w:ascii="宋体" w:hAnsi="宋体" w:eastAsia="宋体"/>
                <w:bCs/>
                <w:sz w:val="18"/>
                <w:highlight w:val="none"/>
              </w:rPr>
              <w:t>军事训练与军事理论、思想道德与法治</w:t>
            </w:r>
            <w:r>
              <w:rPr>
                <w:rFonts w:hint="eastAsia" w:ascii="宋体" w:hAnsi="宋体" w:eastAsia="宋体"/>
                <w:bCs/>
                <w:sz w:val="18"/>
                <w:szCs w:val="18"/>
                <w:highlight w:val="none"/>
              </w:rPr>
              <w:t>、</w:t>
            </w:r>
            <w:r>
              <w:rPr>
                <w:rFonts w:hint="eastAsia" w:ascii="宋体" w:hAnsi="宋体" w:eastAsia="宋体"/>
                <w:kern w:val="0"/>
                <w:sz w:val="18"/>
                <w:szCs w:val="18"/>
                <w:highlight w:val="none"/>
              </w:rPr>
              <w:t>毛泽东思想和中国特色社会主义理论体系概论、形势与政策、</w:t>
            </w:r>
            <w:r>
              <w:rPr>
                <w:rFonts w:hint="eastAsia" w:ascii="宋体" w:hAnsi="宋体" w:eastAsia="宋体"/>
                <w:sz w:val="18"/>
                <w:highlight w:val="none"/>
              </w:rPr>
              <w:t>大学生创新创业基础、创新创业训练与管理、学院、系部相关活动、技能节大赛、通用职业能力大赛</w:t>
            </w:r>
            <w:r>
              <w:rPr>
                <w:rFonts w:hint="eastAsia" w:ascii="宋体" w:hAnsi="宋体" w:eastAsia="宋体"/>
                <w:kern w:val="0"/>
                <w:sz w:val="18"/>
                <w:szCs w:val="18"/>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创新创业能力</w:t>
            </w: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良好的创新精神、创造性思维、创业实践</w:t>
            </w:r>
          </w:p>
        </w:tc>
        <w:tc>
          <w:tcPr>
            <w:tcW w:w="5115" w:type="dxa"/>
            <w:vAlign w:val="center"/>
          </w:tcPr>
          <w:p>
            <w:pPr>
              <w:spacing w:line="240" w:lineRule="exact"/>
              <w:jc w:val="left"/>
              <w:rPr>
                <w:rFonts w:ascii="宋体" w:hAnsi="宋体" w:eastAsia="宋体"/>
                <w:bCs/>
                <w:sz w:val="18"/>
                <w:highlight w:val="none"/>
              </w:rPr>
            </w:pPr>
            <w:r>
              <w:rPr>
                <w:rFonts w:hint="eastAsia" w:ascii="宋体" w:hAnsi="宋体" w:eastAsia="宋体"/>
                <w:sz w:val="18"/>
                <w:highlight w:val="none"/>
              </w:rPr>
              <w:t>大学生创新创业基础、创新创业训练与管理、学院、系部相关活动、技能节大赛、通用职业能力大赛、创新创业实践</w:t>
            </w:r>
            <w:r>
              <w:rPr>
                <w:rFonts w:hint="eastAsia" w:ascii="宋体" w:hAnsi="宋体" w:eastAsia="宋体"/>
                <w:kern w:val="0"/>
                <w:sz w:val="18"/>
                <w:szCs w:val="18"/>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Align w:val="center"/>
          </w:tcPr>
          <w:p>
            <w:pPr>
              <w:spacing w:line="240" w:lineRule="exact"/>
              <w:ind w:firstLine="180" w:firstLineChars="100"/>
              <w:rPr>
                <w:rFonts w:ascii="宋体" w:hAnsi="宋体" w:eastAsia="宋体"/>
                <w:sz w:val="18"/>
                <w:highlight w:val="none"/>
              </w:rPr>
            </w:pPr>
            <w:r>
              <w:rPr>
                <w:rFonts w:hint="eastAsia" w:ascii="宋体" w:hAnsi="宋体" w:eastAsia="宋体"/>
                <w:sz w:val="18"/>
                <w:highlight w:val="none"/>
              </w:rPr>
              <w:t>工匠精神</w:t>
            </w: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敬业、精益、专注等方面的能力</w:t>
            </w:r>
          </w:p>
        </w:tc>
        <w:tc>
          <w:tcPr>
            <w:tcW w:w="5115" w:type="dxa"/>
            <w:vAlign w:val="center"/>
          </w:tcPr>
          <w:p>
            <w:pPr>
              <w:spacing w:line="240" w:lineRule="exact"/>
              <w:jc w:val="left"/>
              <w:rPr>
                <w:rFonts w:ascii="宋体" w:hAnsi="宋体" w:eastAsia="宋体"/>
                <w:sz w:val="18"/>
                <w:highlight w:val="none"/>
              </w:rPr>
            </w:pPr>
            <w:r>
              <w:rPr>
                <w:rFonts w:hint="eastAsia" w:ascii="宋体" w:hAnsi="宋体" w:eastAsia="宋体"/>
                <w:sz w:val="18"/>
                <w:highlight w:val="none"/>
              </w:rPr>
              <w:t>通过大学生职业素质修炼、入学适应与职业规划、大学生创新创业基础、创新创业训练与管理、创新创业实践、公共选修课、技能节比赛、通用职业能力大赛、学院、系部相关活动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restart"/>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专业职业能力和素质</w:t>
            </w:r>
          </w:p>
        </w:tc>
        <w:tc>
          <w:tcPr>
            <w:tcW w:w="1418"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网络空间安全运维能力</w:t>
            </w: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具有网络安全运维综合实践应用的能力</w:t>
            </w:r>
          </w:p>
        </w:tc>
        <w:tc>
          <w:tcPr>
            <w:tcW w:w="5115" w:type="dxa"/>
            <w:vAlign w:val="center"/>
          </w:tcPr>
          <w:p>
            <w:pPr>
              <w:spacing w:line="240" w:lineRule="exact"/>
              <w:jc w:val="left"/>
              <w:rPr>
                <w:rFonts w:ascii="宋体" w:hAnsi="宋体" w:eastAsia="宋体"/>
                <w:sz w:val="18"/>
                <w:highlight w:val="none"/>
              </w:rPr>
            </w:pPr>
            <w:r>
              <w:rPr>
                <w:rFonts w:hint="eastAsia" w:ascii="宋体" w:hAnsi="宋体" w:eastAsia="宋体"/>
                <w:sz w:val="18"/>
                <w:highlight w:val="none"/>
              </w:rPr>
              <w:t>物联网组网技术、WEB开发及安全管理技术、入侵检测与VPN技术、网络设备配置与管理、漏洞扫描与防护、Phython程序设计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highlight w:val="none"/>
              </w:rPr>
            </w:pPr>
          </w:p>
        </w:tc>
        <w:tc>
          <w:tcPr>
            <w:tcW w:w="1418"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网络安全服务能力</w:t>
            </w: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具有网络空间安全法律意识、网络安全意识、网络安全技术应用的能力</w:t>
            </w:r>
          </w:p>
        </w:tc>
        <w:tc>
          <w:tcPr>
            <w:tcW w:w="5115"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物联网组网技术、物联网入门、C语言程序设计、数据库技术、网络操作系统、网络设备配置与管理、Linux操作系统、信息安全等级保护、网络攻防技术、现代密码学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Align w:val="center"/>
          </w:tcPr>
          <w:p>
            <w:pPr>
              <w:spacing w:line="240" w:lineRule="exact"/>
              <w:jc w:val="center"/>
              <w:rPr>
                <w:rFonts w:ascii="宋体" w:hAnsi="宋体" w:eastAsia="宋体"/>
                <w:sz w:val="18"/>
                <w:highlight w:val="none"/>
              </w:rPr>
            </w:pPr>
          </w:p>
        </w:tc>
        <w:tc>
          <w:tcPr>
            <w:tcW w:w="1418"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知识迁移能力</w:t>
            </w:r>
          </w:p>
        </w:tc>
        <w:tc>
          <w:tcPr>
            <w:tcW w:w="1701"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具有一定的专业拓展能力</w:t>
            </w:r>
          </w:p>
        </w:tc>
        <w:tc>
          <w:tcPr>
            <w:tcW w:w="5115" w:type="dxa"/>
            <w:vAlign w:val="center"/>
          </w:tcPr>
          <w:p>
            <w:pPr>
              <w:spacing w:line="240" w:lineRule="exact"/>
              <w:jc w:val="center"/>
              <w:rPr>
                <w:rFonts w:ascii="宋体" w:hAnsi="宋体" w:eastAsia="宋体"/>
                <w:sz w:val="18"/>
                <w:highlight w:val="none"/>
              </w:rPr>
            </w:pPr>
            <w:r>
              <w:rPr>
                <w:rFonts w:hint="eastAsia" w:ascii="宋体" w:hAnsi="宋体" w:eastAsia="宋体"/>
                <w:sz w:val="18"/>
                <w:highlight w:val="none"/>
              </w:rPr>
              <w:t>C语言程序设计</w:t>
            </w:r>
          </w:p>
        </w:tc>
      </w:tr>
    </w:tbl>
    <w:p>
      <w:pPr>
        <w:spacing w:line="360" w:lineRule="exact"/>
        <w:rPr>
          <w:rFonts w:ascii="宋体" w:hAnsi="宋体" w:eastAsia="宋体"/>
          <w:highlight w:val="none"/>
        </w:rPr>
      </w:pPr>
    </w:p>
    <w:p>
      <w:pPr>
        <w:numPr>
          <w:ilvl w:val="0"/>
          <w:numId w:val="5"/>
        </w:numPr>
        <w:snapToGrid w:val="0"/>
        <w:spacing w:line="380" w:lineRule="exact"/>
        <w:outlineLvl w:val="0"/>
        <w:rPr>
          <w:rFonts w:ascii="宋体" w:hAnsi="宋体" w:eastAsia="宋体"/>
          <w:b/>
          <w:bCs/>
          <w:sz w:val="24"/>
          <w:highlight w:val="none"/>
        </w:rPr>
      </w:pPr>
      <w:r>
        <w:rPr>
          <w:rFonts w:hint="eastAsia" w:ascii="宋体" w:hAnsi="宋体" w:eastAsia="宋体"/>
          <w:b/>
          <w:sz w:val="24"/>
          <w:highlight w:val="none"/>
        </w:rPr>
        <w:t>课程设置及时间安排</w:t>
      </w:r>
    </w:p>
    <w:p>
      <w:pPr>
        <w:numPr>
          <w:ilvl w:val="0"/>
          <w:numId w:val="6"/>
        </w:numPr>
        <w:spacing w:line="360" w:lineRule="exact"/>
        <w:ind w:firstLine="420"/>
        <w:rPr>
          <w:rFonts w:ascii="宋体" w:hAnsi="宋体" w:eastAsia="宋体"/>
          <w:highlight w:val="none"/>
        </w:rPr>
      </w:pPr>
      <w:r>
        <w:rPr>
          <w:rFonts w:hint="eastAsia" w:ascii="宋体" w:hAnsi="宋体" w:eastAsia="宋体"/>
          <w:highlight w:val="none"/>
        </w:rPr>
        <w:t>通用职业能力素养课程说明</w:t>
      </w:r>
    </w:p>
    <w:p>
      <w:pPr>
        <w:spacing w:line="380" w:lineRule="exact"/>
        <w:rPr>
          <w:rFonts w:ascii="仿宋_GB2312" w:eastAsia="仿宋_GB2312" w:cs="Times New Roman"/>
          <w:highlight w:val="none"/>
        </w:rPr>
      </w:pPr>
      <w:r>
        <w:rPr>
          <w:rFonts w:hint="eastAsia" w:ascii="宋体" w:hAnsi="宋体" w:eastAsia="宋体"/>
          <w:highlight w:val="none"/>
        </w:rPr>
        <w:t xml:space="preserve">   </w:t>
      </w:r>
      <w:r>
        <w:rPr>
          <w:rFonts w:ascii="仿宋_GB2312" w:eastAsia="仿宋_GB2312" w:cs="Times New Roman"/>
          <w:highlight w:val="none"/>
        </w:rPr>
        <w:t xml:space="preserve"> 1.军事理论（</w:t>
      </w:r>
      <w:r>
        <w:rPr>
          <w:rFonts w:hint="eastAsia" w:ascii="宋体" w:hAnsi="宋体" w:eastAsia="仿宋_GB2312" w:cs="宋体"/>
          <w:kern w:val="0"/>
          <w:szCs w:val="21"/>
          <w:highlight w:val="none"/>
          <w:lang w:eastAsia="zh-CN"/>
        </w:rPr>
        <w:t>510211</w:t>
      </w:r>
      <w:r>
        <w:rPr>
          <w:rFonts w:ascii="仿宋_GB2312" w:eastAsia="仿宋_GB2312" w:cs="Times New Roman"/>
          <w:highlight w:val="none"/>
        </w:rPr>
        <w:t>1110）（36学时）</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以国防教育为主线，以军事理论教学为重点，学生主要参与军事理论学习、掌握基本军事理论知识。通过军事理论教学，学生应增强国防观念和国家安全意识，强化爱国主义、集体主义观念，加强组织纪律性，提升学生社会责任与国家认同意识，军事理论以课堂讲授和学生自主在线学习相结合，主要学习中国国防、军事思想、国际战略环境、军事高技术和信息化战争等主要内容，教师应综合运用讲授、启发式、问题讨论、案例分析等方式方法和现代多媒体、互联网等教学手段组织教学。</w:t>
      </w:r>
    </w:p>
    <w:p>
      <w:pPr>
        <w:spacing w:line="380" w:lineRule="exact"/>
        <w:ind w:firstLine="420" w:firstLineChars="200"/>
        <w:rPr>
          <w:rFonts w:ascii="仿宋_GB2312" w:eastAsia="仿宋_GB2312" w:cs="Times New Roman"/>
          <w:highlight w:val="none"/>
        </w:rPr>
      </w:pPr>
      <w:r>
        <w:rPr>
          <w:rFonts w:ascii="仿宋_GB2312" w:eastAsia="仿宋_GB2312" w:cs="Times New Roman"/>
          <w:highlight w:val="none"/>
        </w:rPr>
        <w:t>2.军事训练（</w:t>
      </w:r>
      <w:r>
        <w:rPr>
          <w:rFonts w:hint="eastAsia" w:ascii="宋体" w:hAnsi="宋体" w:eastAsia="仿宋_GB2312" w:cs="宋体"/>
          <w:kern w:val="0"/>
          <w:szCs w:val="21"/>
          <w:highlight w:val="none"/>
          <w:lang w:eastAsia="zh-CN"/>
        </w:rPr>
        <w:t>510211</w:t>
      </w:r>
      <w:r>
        <w:rPr>
          <w:rFonts w:ascii="仿宋_GB2312" w:eastAsia="仿宋_GB2312" w:cs="Times New Roman"/>
          <w:highlight w:val="none"/>
        </w:rPr>
        <w:t>1140）（112学时）</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军事训练以集中实训、实践教学为主，主要学习纪律条令，训练队列动作、军体拳和内务整理等内容，军训教官综合运用讲授、操作演示、反复练习等方式方法组织训练、参与体验；提高学生的自我学习管理能力，促进自身综合素质的提高，为中国人民解放军训练储备合格后备兵员和培养预备役军官打下坚实基础。</w:t>
      </w:r>
    </w:p>
    <w:p>
      <w:pPr>
        <w:spacing w:line="380" w:lineRule="exact"/>
        <w:ind w:firstLine="420" w:firstLineChars="200"/>
        <w:rPr>
          <w:rFonts w:ascii="仿宋_GB2312" w:hAnsi="宋体" w:eastAsia="仿宋_GB2312" w:cs="宋体"/>
          <w:kern w:val="0"/>
          <w:szCs w:val="21"/>
          <w:highlight w:val="none"/>
        </w:rPr>
      </w:pPr>
      <w:r>
        <w:rPr>
          <w:rFonts w:ascii="仿宋_GB2312" w:hAnsi="宋体" w:eastAsia="仿宋_GB2312" w:cs="宋体"/>
          <w:kern w:val="0"/>
          <w:szCs w:val="21"/>
          <w:highlight w:val="none"/>
        </w:rPr>
        <w:t>3.思想道德与</w:t>
      </w:r>
      <w:r>
        <w:rPr>
          <w:rFonts w:hint="eastAsia" w:ascii="仿宋_GB2312" w:hAnsi="宋体" w:eastAsia="仿宋_GB2312" w:cs="宋体"/>
          <w:kern w:val="0"/>
          <w:szCs w:val="21"/>
          <w:highlight w:val="none"/>
        </w:rPr>
        <w:t>法治</w:t>
      </w:r>
      <w:r>
        <w:rPr>
          <w:rFonts w:ascii="仿宋_GB2312" w:hAnsi="宋体" w:eastAsia="仿宋_GB2312" w:cs="宋体"/>
          <w:kern w:val="0"/>
          <w:szCs w:val="21"/>
          <w:highlight w:val="none"/>
        </w:rPr>
        <w:t>（</w:t>
      </w:r>
      <w:r>
        <w:rPr>
          <w:rFonts w:hint="eastAsia" w:ascii="宋体" w:hAnsi="宋体" w:eastAsia="仿宋_GB2312" w:cs="宋体"/>
          <w:kern w:val="0"/>
          <w:szCs w:val="21"/>
          <w:highlight w:val="none"/>
          <w:lang w:eastAsia="zh-CN"/>
        </w:rPr>
        <w:t>510211</w:t>
      </w:r>
      <w:r>
        <w:rPr>
          <w:rFonts w:ascii="仿宋_GB2312" w:hAnsi="宋体" w:eastAsia="仿宋_GB2312" w:cs="宋体"/>
          <w:kern w:val="0"/>
          <w:szCs w:val="21"/>
          <w:highlight w:val="none"/>
        </w:rPr>
        <w:t>1141）（48学时）</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是中宣部、教育部规定高校本专科学生必修的一门思想政治理论课程，是“两课”教育的重要课程之一。本课程立足培养中国特色社会主义合格建设者和可靠接班人，贯彻习近平总书记提出“四个服务”思想，旨在对大学生进行系统政治教育、思想教育、道德教育、法治教育，打牢学生信仰根基，帮助树立正确的世界观、人生观、价值观、道德观、法治观，弘扬伟大的爱国主义精神和改革创新的时代精神，提升学生思想道德素质和法律素质，培育和践行社会主义核心价值观，帮助学生解决成长成才过程中遇到的实际问题，让学生更好适应大学生活，促进德智体美劳全面发展。</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本课程按照教学内容分模块学习，运用问题导入、问题探究、案例分析、专题实践、课后作业及现代多媒体等教学手段组织教学。</w:t>
      </w:r>
      <w:r>
        <w:rPr>
          <w:rFonts w:ascii="宋体" w:hAnsi="宋体" w:eastAsia="宋体" w:cs="宋体"/>
          <w:kern w:val="0"/>
          <w:szCs w:val="21"/>
          <w:highlight w:val="none"/>
        </w:rPr>
        <w:t xml:space="preserve"> </w:t>
      </w:r>
    </w:p>
    <w:p>
      <w:pPr>
        <w:spacing w:line="380" w:lineRule="exact"/>
        <w:ind w:firstLine="420"/>
        <w:rPr>
          <w:rFonts w:ascii="宋体" w:hAnsi="宋体" w:eastAsia="宋体" w:cs="宋体"/>
          <w:kern w:val="0"/>
          <w:szCs w:val="21"/>
          <w:highlight w:val="none"/>
        </w:rPr>
      </w:pPr>
      <w:r>
        <w:rPr>
          <w:rFonts w:ascii="仿宋_GB2312" w:hAnsi="宋体" w:eastAsia="仿宋_GB2312" w:cs="宋体"/>
          <w:kern w:val="0"/>
          <w:szCs w:val="21"/>
          <w:highlight w:val="none"/>
        </w:rPr>
        <w:t>4</w:t>
      </w:r>
      <w:r>
        <w:rPr>
          <w:rFonts w:hint="eastAsia" w:ascii="仿宋_GB2312" w:hAnsi="宋体" w:eastAsia="仿宋_GB2312" w:cs="宋体"/>
          <w:kern w:val="0"/>
          <w:szCs w:val="21"/>
          <w:highlight w:val="none"/>
        </w:rPr>
        <w:t>.毛泽东思想和中国特色社会主义理论体系概论  （</w:t>
      </w:r>
      <w:r>
        <w:rPr>
          <w:rFonts w:hint="eastAsia" w:ascii="宋体" w:hAnsi="宋体" w:eastAsia="仿宋_GB2312" w:cs="宋体"/>
          <w:kern w:val="0"/>
          <w:szCs w:val="21"/>
          <w:highlight w:val="none"/>
          <w:lang w:eastAsia="zh-CN"/>
        </w:rPr>
        <w:t>510211</w:t>
      </w:r>
      <w:r>
        <w:rPr>
          <w:rFonts w:ascii="仿宋_GB2312" w:hAnsi="宋体" w:eastAsia="仿宋_GB2312" w:cs="宋体"/>
          <w:kern w:val="0"/>
          <w:szCs w:val="21"/>
          <w:highlight w:val="none"/>
        </w:rPr>
        <w:t>1142</w:t>
      </w:r>
      <w:r>
        <w:rPr>
          <w:rFonts w:hint="eastAsia" w:ascii="仿宋_GB2312" w:hAnsi="宋体" w:eastAsia="仿宋_GB2312" w:cs="宋体"/>
          <w:kern w:val="0"/>
          <w:szCs w:val="21"/>
          <w:highlight w:val="none"/>
        </w:rPr>
        <w:t>）（</w:t>
      </w:r>
      <w:r>
        <w:rPr>
          <w:rFonts w:ascii="仿宋_GB2312" w:hAnsi="宋体" w:eastAsia="仿宋_GB2312" w:cs="宋体"/>
          <w:kern w:val="0"/>
          <w:szCs w:val="21"/>
          <w:highlight w:val="none"/>
        </w:rPr>
        <w:t>80</w:t>
      </w:r>
      <w:r>
        <w:rPr>
          <w:rFonts w:hint="eastAsia" w:ascii="仿宋_GB2312" w:hAnsi="宋体" w:eastAsia="仿宋_GB2312" w:cs="宋体"/>
          <w:kern w:val="0"/>
          <w:szCs w:val="21"/>
          <w:highlight w:val="none"/>
        </w:rPr>
        <w:t>学时）</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是中宣部、教育部规定高校本专科学生必修的一门思想政治理论课程，是“两课”教育的重要课程之一。本课程概括介绍马克思主义中国化的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本课程还将《红色文化十讲》内容融入其中，</w:t>
      </w:r>
      <w:r>
        <w:rPr>
          <w:rFonts w:hint="eastAsia" w:ascii="Times New Roman" w:eastAsia="宋体" w:cs="Times New Roman"/>
          <w:highlight w:val="none"/>
        </w:rPr>
        <w:t>立足江西丰富的红色文化资源，让学生从红色文化资源中掌握中国共产党波澜壮阔的革命史、艰苦卓绝的奋斗史和可歌可泣的英雄史，真正做到用红色资源立德树人、用红色传统铸魂励志。</w:t>
      </w:r>
      <w:r>
        <w:rPr>
          <w:rFonts w:hint="eastAsia" w:ascii="宋体" w:hAnsi="宋体" w:eastAsia="宋体" w:cs="宋体"/>
          <w:kern w:val="0"/>
          <w:szCs w:val="21"/>
          <w:highlight w:val="none"/>
        </w:rPr>
        <w:t>课程贯彻习近平总书记“四个服务”思想，旨在帮助学生掌握马克思主义科学理论，为学生成长奠定科学的思想基础，树立中国特色社会主义共同理想和共产主义远大理想</w:t>
      </w:r>
      <w:r>
        <w:rPr>
          <w:rFonts w:ascii="宋体" w:hAnsi="宋体" w:eastAsia="宋体" w:cs="宋体"/>
          <w:kern w:val="0"/>
          <w:szCs w:val="21"/>
          <w:highlight w:val="none"/>
        </w:rPr>
        <w:t>,培育和弘扬社会主义核心价值观，引导学生做社会主义核心价值观的坚定信仰者、积极传播者、模范践行者，着力提高学生的社会责任能力、社会认知能力，学会客观地、发展地、全面地、系统地和辩证地观察问题、分析问题、解决问题，不断增强用理论指导实践的能力。着力培养牢固树立“四个意识”，自觉坚定“四个自信”，坚决做到“两个维护”，促进德智体美劳全面发展，勇于担当民族复兴大任的时代新人。</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本课程按照教学内容分专题学习，运用问题导入、问题探究、案例分析、课堂讲授、课堂讨论、实践活动、课后练习、撰写学习报告及现代多媒体等教学手段组织教学。</w:t>
      </w:r>
    </w:p>
    <w:p>
      <w:pPr>
        <w:spacing w:line="380" w:lineRule="exact"/>
        <w:ind w:firstLine="420"/>
        <w:rPr>
          <w:rFonts w:ascii="仿宋_GB2312" w:hAnsi="宋体" w:eastAsia="仿宋_GB2312" w:cs="宋体"/>
          <w:kern w:val="0"/>
          <w:szCs w:val="21"/>
          <w:highlight w:val="none"/>
        </w:rPr>
      </w:pPr>
      <w:r>
        <w:rPr>
          <w:rFonts w:ascii="仿宋_GB2312" w:hAnsi="宋体" w:eastAsia="仿宋_GB2312" w:cs="宋体"/>
          <w:kern w:val="0"/>
          <w:szCs w:val="21"/>
          <w:highlight w:val="none"/>
        </w:rPr>
        <w:t>5</w:t>
      </w:r>
      <w:r>
        <w:rPr>
          <w:rFonts w:hint="eastAsia" w:ascii="仿宋_GB2312" w:hAnsi="宋体" w:eastAsia="仿宋_GB2312" w:cs="宋体"/>
          <w:kern w:val="0"/>
          <w:szCs w:val="21"/>
          <w:highlight w:val="none"/>
        </w:rPr>
        <w:t>.大学生心理健康教育（</w:t>
      </w:r>
      <w:r>
        <w:rPr>
          <w:rFonts w:hint="eastAsia" w:ascii="宋体" w:hAnsi="宋体" w:eastAsia="宋体" w:cs="宋体"/>
          <w:kern w:val="0"/>
          <w:szCs w:val="21"/>
          <w:highlight w:val="none"/>
          <w:lang w:eastAsia="zh-CN"/>
        </w:rPr>
        <w:t>510211</w:t>
      </w:r>
      <w:r>
        <w:rPr>
          <w:rFonts w:ascii="宋体" w:hAnsi="宋体" w:eastAsia="宋体" w:cs="宋体"/>
          <w:kern w:val="0"/>
          <w:szCs w:val="21"/>
          <w:highlight w:val="none"/>
        </w:rPr>
        <w:t>1143</w:t>
      </w:r>
      <w:r>
        <w:rPr>
          <w:rFonts w:hint="eastAsia" w:ascii="仿宋_GB2312" w:hAnsi="宋体" w:eastAsia="仿宋_GB2312" w:cs="宋体"/>
          <w:kern w:val="0"/>
          <w:szCs w:val="21"/>
          <w:highlight w:val="none"/>
        </w:rPr>
        <w:t>）（32学时）</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是适应大学生自我成长的迫切需要而开设的，旨在使学生掌握心理健康的基本知识，帮助学生认识心理健康与个人成才发展的关系，了解常见的心理问题，掌握心理调节的方法，解决成长过程中遇到的自我认识、学习适应、人际交往、恋爱心理、情绪管理、危机预防等方面的问题。从而提升大学生心理素质，有效预防心理疾病和心理危机，增强心理调适的能力，正确认识自我，悦纳自我，完善自我，发展自我，优化心理素质，增强与人沟通的能力和承受心理挫折的能力，培养学生积极向上的心态、健全的人格和良好的个性品质，帮助学生树立出现心理问题时的求助意识，维护学生的心理健康，促进学生心理素质的提高，促进大学生全面的发展和健康成长。</w:t>
      </w:r>
    </w:p>
    <w:p>
      <w:pPr>
        <w:spacing w:line="380" w:lineRule="exact"/>
        <w:ind w:firstLine="420"/>
        <w:rPr>
          <w:rFonts w:ascii="仿宋_GB2312" w:hAnsi="宋体" w:eastAsia="仿宋_GB2312" w:cs="宋体"/>
          <w:kern w:val="0"/>
          <w:szCs w:val="21"/>
          <w:highlight w:val="none"/>
        </w:rPr>
      </w:pPr>
      <w:r>
        <w:rPr>
          <w:rFonts w:hint="eastAsia" w:ascii="宋体" w:hAnsi="宋体" w:eastAsia="宋体" w:cs="宋体"/>
          <w:kern w:val="0"/>
          <w:szCs w:val="21"/>
          <w:highlight w:val="none"/>
        </w:rPr>
        <w:t>本课程按照教学内容分专题学习，运用问题导入、专题讲授、心理测试、课堂讨论、心理咨询、观看视频、情景模拟及现代多媒体等教学手段组织教学。</w:t>
      </w:r>
    </w:p>
    <w:p>
      <w:pPr>
        <w:spacing w:line="380" w:lineRule="exact"/>
        <w:ind w:firstLine="420"/>
        <w:rPr>
          <w:rFonts w:ascii="仿宋_GB2312" w:hAnsi="宋体" w:eastAsia="仿宋_GB2312" w:cs="宋体"/>
          <w:kern w:val="0"/>
          <w:szCs w:val="21"/>
          <w:highlight w:val="none"/>
        </w:rPr>
      </w:pPr>
      <w:r>
        <w:rPr>
          <w:rFonts w:ascii="仿宋_GB2312" w:hAnsi="宋体" w:eastAsia="仿宋_GB2312" w:cs="宋体"/>
          <w:kern w:val="0"/>
          <w:szCs w:val="21"/>
          <w:highlight w:val="none"/>
        </w:rPr>
        <w:t>6</w:t>
      </w:r>
      <w:r>
        <w:rPr>
          <w:rFonts w:hint="eastAsia" w:ascii="仿宋_GB2312" w:hAnsi="宋体" w:eastAsia="仿宋_GB2312" w:cs="宋体"/>
          <w:kern w:val="0"/>
          <w:szCs w:val="21"/>
          <w:highlight w:val="none"/>
        </w:rPr>
        <w:t>.形势与政策  （</w:t>
      </w:r>
      <w:r>
        <w:rPr>
          <w:rFonts w:hint="eastAsia" w:ascii="宋体" w:hAnsi="宋体" w:eastAsia="宋体" w:cs="宋体"/>
          <w:kern w:val="0"/>
          <w:szCs w:val="21"/>
          <w:highlight w:val="none"/>
          <w:lang w:eastAsia="zh-CN"/>
        </w:rPr>
        <w:t>510211</w:t>
      </w:r>
      <w:r>
        <w:rPr>
          <w:rFonts w:ascii="宋体" w:hAnsi="宋体" w:eastAsia="宋体" w:cs="宋体"/>
          <w:kern w:val="0"/>
          <w:szCs w:val="21"/>
          <w:highlight w:val="none"/>
        </w:rPr>
        <w:t>11</w:t>
      </w:r>
      <w:r>
        <w:rPr>
          <w:rFonts w:hint="eastAsia" w:ascii="宋体" w:hAnsi="宋体" w:eastAsia="宋体" w:cs="宋体"/>
          <w:kern w:val="0"/>
          <w:szCs w:val="21"/>
          <w:highlight w:val="none"/>
        </w:rPr>
        <w:t>5</w:t>
      </w:r>
      <w:r>
        <w:rPr>
          <w:rFonts w:ascii="宋体" w:hAnsi="宋体" w:eastAsia="宋体" w:cs="宋体"/>
          <w:kern w:val="0"/>
          <w:szCs w:val="21"/>
          <w:highlight w:val="none"/>
        </w:rPr>
        <w:t>0</w:t>
      </w:r>
      <w:r>
        <w:rPr>
          <w:rFonts w:hint="eastAsia" w:ascii="仿宋_GB2312" w:hAnsi="宋体" w:eastAsia="仿宋_GB2312" w:cs="宋体"/>
          <w:kern w:val="0"/>
          <w:szCs w:val="21"/>
          <w:highlight w:val="none"/>
        </w:rPr>
        <w:t>） （16学时）</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是中宣部、教育部规定的高校本专科学生必修的一门思想政治理论课程。通过课程学习，推动习近平新时代中国特色社会主义思想的学习，以及党的理论创新最新成果进教材进课堂进学生头脑，引导大学生正确认识世情和国情，认清我们所处的“时”和“势”，增强机遇意识、忧患意识、责任意识，提升自身运用马克思主义的立场、观点、方法正确分析形势和理解政策的能力，探索科学研判和正确理解形势与政策发展的客观规律，使大学生在改革开放的环境下有坚定的立场、有较强的社会责任和社会认知能力，提高当代大学生投身于国家经济建设事业的自觉性和态度，明确自身的人生定位和奋斗目标。</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本课程按照教学内容专题学习，运用专题讲授、课堂讨论、观看视频、撰写学习报告及现代多媒体教学手段组织教学。</w:t>
      </w:r>
    </w:p>
    <w:p>
      <w:pPr>
        <w:spacing w:line="380" w:lineRule="exact"/>
        <w:ind w:firstLine="420"/>
        <w:rPr>
          <w:rFonts w:ascii="仿宋_GB2312" w:hAnsi="宋体" w:eastAsia="仿宋_GB2312" w:cs="宋体"/>
          <w:kern w:val="0"/>
          <w:szCs w:val="21"/>
          <w:highlight w:val="none"/>
          <w:u w:val="single"/>
        </w:rPr>
      </w:pPr>
      <w:r>
        <w:rPr>
          <w:rFonts w:ascii="仿宋_GB2312" w:hAnsi="宋体" w:eastAsia="仿宋_GB2312" w:cs="宋体"/>
          <w:kern w:val="0"/>
          <w:szCs w:val="21"/>
          <w:highlight w:val="none"/>
        </w:rPr>
        <w:t>7</w:t>
      </w:r>
      <w:r>
        <w:rPr>
          <w:rFonts w:hint="eastAsia" w:ascii="仿宋_GB2312" w:hAnsi="宋体" w:eastAsia="仿宋_GB2312" w:cs="宋体"/>
          <w:kern w:val="0"/>
          <w:szCs w:val="21"/>
          <w:highlight w:val="none"/>
        </w:rPr>
        <w:t>.综合英语    （</w:t>
      </w:r>
      <w:r>
        <w:rPr>
          <w:rFonts w:hint="eastAsia" w:ascii="宋体" w:hAnsi="宋体" w:eastAsia="宋体" w:cs="宋体"/>
          <w:kern w:val="0"/>
          <w:szCs w:val="21"/>
          <w:highlight w:val="none"/>
          <w:lang w:eastAsia="zh-CN"/>
        </w:rPr>
        <w:t>510211</w:t>
      </w:r>
      <w:r>
        <w:rPr>
          <w:rFonts w:ascii="宋体" w:hAnsi="宋体" w:eastAsia="宋体" w:cs="宋体"/>
          <w:kern w:val="0"/>
          <w:szCs w:val="21"/>
          <w:highlight w:val="none"/>
        </w:rPr>
        <w:t>11</w:t>
      </w:r>
      <w:r>
        <w:rPr>
          <w:rFonts w:hint="eastAsia" w:ascii="宋体" w:hAnsi="宋体" w:eastAsia="宋体" w:cs="宋体"/>
          <w:kern w:val="0"/>
          <w:szCs w:val="21"/>
          <w:highlight w:val="none"/>
        </w:rPr>
        <w:t>11</w:t>
      </w:r>
      <w:r>
        <w:rPr>
          <w:rFonts w:hint="eastAsia" w:ascii="仿宋_GB2312" w:hAnsi="宋体" w:eastAsia="仿宋_GB2312" w:cs="宋体"/>
          <w:kern w:val="0"/>
          <w:szCs w:val="21"/>
          <w:highlight w:val="none"/>
        </w:rPr>
        <w:t>）  （76学时）</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本课程主要学习职业情境下的综合英语，分2学期完成，重点培养与提升学生的英语听、说、读、写、译项目，互联网在线英语学习与应用等基本技能，突出英语</w:t>
      </w:r>
      <w:r>
        <w:rPr>
          <w:rFonts w:ascii="宋体" w:hAnsi="宋体" w:eastAsia="宋体" w:cs="宋体"/>
          <w:kern w:val="0"/>
          <w:szCs w:val="21"/>
          <w:highlight w:val="none"/>
        </w:rPr>
        <w:t>语言基本技能训练和</w:t>
      </w:r>
      <w:r>
        <w:rPr>
          <w:rFonts w:hint="eastAsia" w:ascii="宋体" w:hAnsi="宋体" w:eastAsia="宋体" w:cs="宋体"/>
          <w:kern w:val="0"/>
          <w:szCs w:val="21"/>
          <w:highlight w:val="none"/>
        </w:rPr>
        <w:t>英语</w:t>
      </w:r>
      <w:r>
        <w:rPr>
          <w:rFonts w:ascii="宋体" w:hAnsi="宋体" w:eastAsia="宋体" w:cs="宋体"/>
          <w:kern w:val="0"/>
          <w:szCs w:val="21"/>
          <w:highlight w:val="none"/>
        </w:rPr>
        <w:t>交际的语言</w:t>
      </w:r>
      <w:r>
        <w:rPr>
          <w:rFonts w:hint="eastAsia" w:ascii="宋体" w:hAnsi="宋体" w:eastAsia="宋体" w:cs="宋体"/>
          <w:kern w:val="0"/>
          <w:szCs w:val="21"/>
          <w:highlight w:val="none"/>
        </w:rPr>
        <w:t>基础</w:t>
      </w:r>
      <w:r>
        <w:rPr>
          <w:rFonts w:ascii="宋体" w:hAnsi="宋体" w:eastAsia="宋体" w:cs="宋体"/>
          <w:kern w:val="0"/>
          <w:szCs w:val="21"/>
          <w:highlight w:val="none"/>
        </w:rPr>
        <w:t>。</w:t>
      </w:r>
      <w:r>
        <w:rPr>
          <w:rFonts w:hint="eastAsia" w:ascii="宋体" w:hAnsi="宋体" w:eastAsia="宋体" w:cs="宋体"/>
          <w:kern w:val="0"/>
          <w:szCs w:val="21"/>
          <w:highlight w:val="none"/>
        </w:rPr>
        <w:t>通过课程学习，</w:t>
      </w:r>
      <w:r>
        <w:rPr>
          <w:rFonts w:ascii="宋体" w:hAnsi="宋体" w:eastAsia="宋体" w:cs="宋体"/>
          <w:kern w:val="0"/>
          <w:szCs w:val="21"/>
          <w:highlight w:val="none"/>
        </w:rPr>
        <w:t>学生</w:t>
      </w:r>
      <w:r>
        <w:rPr>
          <w:rFonts w:hint="eastAsia" w:ascii="宋体" w:hAnsi="宋体" w:eastAsia="宋体" w:cs="宋体"/>
          <w:kern w:val="0"/>
          <w:szCs w:val="21"/>
          <w:highlight w:val="none"/>
        </w:rPr>
        <w:t>应</w:t>
      </w:r>
      <w:r>
        <w:rPr>
          <w:rFonts w:ascii="宋体" w:hAnsi="宋体" w:eastAsia="宋体" w:cs="宋体"/>
          <w:kern w:val="0"/>
          <w:szCs w:val="21"/>
          <w:highlight w:val="none"/>
        </w:rPr>
        <w:t>掌握</w:t>
      </w:r>
      <w:r>
        <w:rPr>
          <w:rFonts w:hint="eastAsia" w:ascii="宋体" w:hAnsi="宋体" w:eastAsia="宋体" w:cs="宋体"/>
          <w:kern w:val="0"/>
          <w:szCs w:val="21"/>
          <w:highlight w:val="none"/>
        </w:rPr>
        <w:t>常用</w:t>
      </w:r>
      <w:r>
        <w:rPr>
          <w:rFonts w:ascii="宋体" w:hAnsi="宋体" w:eastAsia="宋体" w:cs="宋体"/>
          <w:kern w:val="0"/>
          <w:szCs w:val="21"/>
          <w:highlight w:val="none"/>
        </w:rPr>
        <w:t>的</w:t>
      </w:r>
      <w:r>
        <w:rPr>
          <w:rFonts w:hint="eastAsia" w:ascii="宋体" w:hAnsi="宋体" w:eastAsia="宋体" w:cs="宋体"/>
          <w:kern w:val="0"/>
          <w:szCs w:val="21"/>
          <w:highlight w:val="none"/>
        </w:rPr>
        <w:t>职业综合</w:t>
      </w:r>
      <w:r>
        <w:rPr>
          <w:rFonts w:ascii="宋体" w:hAnsi="宋体" w:eastAsia="宋体" w:cs="宋体"/>
          <w:kern w:val="0"/>
          <w:szCs w:val="21"/>
          <w:highlight w:val="none"/>
        </w:rPr>
        <w:t>英语基础知识和</w:t>
      </w:r>
      <w:r>
        <w:rPr>
          <w:rFonts w:hint="eastAsia" w:ascii="宋体" w:hAnsi="宋体" w:eastAsia="宋体" w:cs="宋体"/>
          <w:kern w:val="0"/>
          <w:szCs w:val="21"/>
          <w:highlight w:val="none"/>
        </w:rPr>
        <w:t>基本</w:t>
      </w:r>
      <w:r>
        <w:rPr>
          <w:rFonts w:ascii="宋体" w:hAnsi="宋体" w:eastAsia="宋体" w:cs="宋体"/>
          <w:kern w:val="0"/>
          <w:szCs w:val="21"/>
          <w:highlight w:val="none"/>
        </w:rPr>
        <w:t>技能，</w:t>
      </w:r>
      <w:r>
        <w:rPr>
          <w:rFonts w:hint="eastAsia" w:ascii="宋体" w:hAnsi="宋体" w:eastAsia="宋体" w:cs="宋体"/>
          <w:kern w:val="0"/>
          <w:szCs w:val="21"/>
          <w:highlight w:val="none"/>
        </w:rPr>
        <w:t>以基本胜任相关</w:t>
      </w:r>
      <w:r>
        <w:rPr>
          <w:rFonts w:ascii="宋体" w:hAnsi="宋体" w:eastAsia="宋体" w:cs="宋体"/>
          <w:kern w:val="0"/>
          <w:szCs w:val="21"/>
          <w:highlight w:val="none"/>
        </w:rPr>
        <w:t>涉外交际和</w:t>
      </w:r>
      <w:r>
        <w:rPr>
          <w:rFonts w:hint="eastAsia" w:ascii="宋体" w:hAnsi="宋体" w:eastAsia="宋体" w:cs="宋体"/>
          <w:kern w:val="0"/>
          <w:szCs w:val="21"/>
          <w:highlight w:val="none"/>
        </w:rPr>
        <w:t>职业</w:t>
      </w:r>
      <w:r>
        <w:rPr>
          <w:rFonts w:ascii="宋体" w:hAnsi="宋体" w:eastAsia="宋体" w:cs="宋体"/>
          <w:kern w:val="0"/>
          <w:szCs w:val="21"/>
          <w:highlight w:val="none"/>
        </w:rPr>
        <w:t>活动中</w:t>
      </w:r>
      <w:r>
        <w:rPr>
          <w:rFonts w:hint="eastAsia" w:ascii="宋体" w:hAnsi="宋体" w:eastAsia="宋体" w:cs="宋体"/>
          <w:kern w:val="0"/>
          <w:szCs w:val="21"/>
          <w:highlight w:val="none"/>
        </w:rPr>
        <w:t>口语、</w:t>
      </w:r>
      <w:r>
        <w:rPr>
          <w:rFonts w:ascii="宋体" w:hAnsi="宋体" w:eastAsia="宋体" w:cs="宋体"/>
          <w:kern w:val="0"/>
          <w:szCs w:val="21"/>
          <w:highlight w:val="none"/>
        </w:rPr>
        <w:t>书面</w:t>
      </w:r>
      <w:r>
        <w:rPr>
          <w:rFonts w:hint="eastAsia" w:ascii="宋体" w:hAnsi="宋体" w:eastAsia="宋体" w:cs="宋体"/>
          <w:kern w:val="0"/>
          <w:szCs w:val="21"/>
          <w:highlight w:val="none"/>
        </w:rPr>
        <w:t>或在线的基础英语学习与应用</w:t>
      </w:r>
      <w:r>
        <w:rPr>
          <w:rFonts w:ascii="宋体" w:hAnsi="宋体" w:eastAsia="宋体" w:cs="宋体"/>
          <w:kern w:val="0"/>
          <w:szCs w:val="21"/>
          <w:highlight w:val="none"/>
        </w:rPr>
        <w:t>交流，为今后进一步提</w:t>
      </w:r>
      <w:r>
        <w:rPr>
          <w:rFonts w:hint="eastAsia" w:ascii="宋体" w:hAnsi="宋体" w:eastAsia="宋体" w:cs="宋体"/>
          <w:kern w:val="0"/>
          <w:szCs w:val="21"/>
          <w:highlight w:val="none"/>
        </w:rPr>
        <w:t>升大学生的国际理解和</w:t>
      </w:r>
      <w:r>
        <w:rPr>
          <w:rFonts w:ascii="宋体" w:hAnsi="宋体" w:eastAsia="宋体" w:cs="宋体"/>
          <w:kern w:val="0"/>
          <w:szCs w:val="21"/>
          <w:highlight w:val="none"/>
        </w:rPr>
        <w:t>英语</w:t>
      </w:r>
      <w:r>
        <w:rPr>
          <w:rFonts w:hint="eastAsia" w:ascii="宋体" w:hAnsi="宋体" w:eastAsia="宋体" w:cs="宋体"/>
          <w:kern w:val="0"/>
          <w:szCs w:val="21"/>
          <w:highlight w:val="none"/>
        </w:rPr>
        <w:t>应用</w:t>
      </w:r>
      <w:r>
        <w:rPr>
          <w:rFonts w:ascii="宋体" w:hAnsi="宋体" w:eastAsia="宋体" w:cs="宋体"/>
          <w:kern w:val="0"/>
          <w:szCs w:val="21"/>
          <w:highlight w:val="none"/>
        </w:rPr>
        <w:t>能力</w:t>
      </w:r>
      <w:r>
        <w:rPr>
          <w:rFonts w:hint="eastAsia" w:ascii="宋体" w:hAnsi="宋体" w:eastAsia="宋体" w:cs="宋体"/>
          <w:kern w:val="0"/>
          <w:szCs w:val="21"/>
          <w:highlight w:val="none"/>
        </w:rPr>
        <w:t>、学业与职业发展奠定良好的</w:t>
      </w:r>
      <w:r>
        <w:rPr>
          <w:rFonts w:ascii="宋体" w:hAnsi="宋体" w:eastAsia="宋体" w:cs="宋体"/>
          <w:kern w:val="0"/>
          <w:szCs w:val="21"/>
          <w:highlight w:val="none"/>
        </w:rPr>
        <w:t>基础</w:t>
      </w:r>
      <w:r>
        <w:rPr>
          <w:rFonts w:hint="eastAsia" w:ascii="宋体" w:hAnsi="宋体" w:eastAsia="宋体" w:cs="宋体"/>
          <w:kern w:val="0"/>
          <w:szCs w:val="21"/>
          <w:highlight w:val="none"/>
        </w:rPr>
        <w:t>。本课程分视听说项目和综合项目两部分，教师综合应运用讲授、情景模拟、启发式、任务驱动、问题讨论、练习、测试等方式方法和现代多媒体、互联网等教学手段组织教学。</w:t>
      </w:r>
    </w:p>
    <w:p>
      <w:pPr>
        <w:spacing w:line="380" w:lineRule="exact"/>
        <w:ind w:firstLine="420" w:firstLineChars="200"/>
        <w:rPr>
          <w:rFonts w:ascii="仿宋_GB2312" w:hAnsi="宋体" w:eastAsia="仿宋_GB2312" w:cs="宋体"/>
          <w:kern w:val="0"/>
          <w:szCs w:val="21"/>
          <w:highlight w:val="none"/>
        </w:rPr>
      </w:pPr>
      <w:r>
        <w:rPr>
          <w:rFonts w:ascii="仿宋" w:hAnsi="仿宋" w:eastAsia="仿宋" w:cs="仿宋"/>
          <w:kern w:val="0"/>
          <w:szCs w:val="21"/>
          <w:highlight w:val="none"/>
        </w:rPr>
        <w:t>8</w:t>
      </w:r>
      <w:r>
        <w:rPr>
          <w:rFonts w:hint="eastAsia" w:ascii="仿宋" w:hAnsi="仿宋" w:eastAsia="仿宋" w:cs="仿宋"/>
          <w:kern w:val="0"/>
          <w:szCs w:val="21"/>
          <w:highlight w:val="none"/>
        </w:rPr>
        <w:t>.</w:t>
      </w:r>
      <w:r>
        <w:rPr>
          <w:rFonts w:hint="eastAsia" w:ascii="仿宋_GB2312" w:hAnsi="宋体" w:eastAsia="仿宋_GB2312" w:cs="宋体"/>
          <w:kern w:val="0"/>
          <w:szCs w:val="21"/>
          <w:highlight w:val="none"/>
        </w:rPr>
        <w:t>实用大学语文   （</w:t>
      </w:r>
      <w:r>
        <w:rPr>
          <w:rFonts w:hint="eastAsia" w:ascii="宋体" w:hAnsi="宋体" w:eastAsia="宋体" w:cs="宋体"/>
          <w:kern w:val="0"/>
          <w:szCs w:val="21"/>
          <w:highlight w:val="none"/>
          <w:lang w:eastAsia="zh-CN"/>
        </w:rPr>
        <w:t>510211</w:t>
      </w:r>
      <w:r>
        <w:rPr>
          <w:rFonts w:ascii="宋体" w:hAnsi="宋体" w:eastAsia="宋体" w:cs="宋体"/>
          <w:kern w:val="0"/>
          <w:szCs w:val="21"/>
          <w:highlight w:val="none"/>
        </w:rPr>
        <w:t>11</w:t>
      </w:r>
      <w:r>
        <w:rPr>
          <w:rFonts w:hint="eastAsia" w:ascii="宋体" w:hAnsi="宋体" w:eastAsia="宋体" w:cs="宋体"/>
          <w:kern w:val="0"/>
          <w:szCs w:val="21"/>
          <w:highlight w:val="none"/>
        </w:rPr>
        <w:t>12</w:t>
      </w:r>
      <w:r>
        <w:rPr>
          <w:rFonts w:hint="eastAsia" w:ascii="仿宋_GB2312" w:hAnsi="宋体" w:eastAsia="仿宋_GB2312" w:cs="宋体"/>
          <w:kern w:val="0"/>
          <w:szCs w:val="21"/>
          <w:highlight w:val="none"/>
        </w:rPr>
        <w:t>）  （48学时）</w:t>
      </w:r>
    </w:p>
    <w:p>
      <w:pPr>
        <w:spacing w:line="38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本课程</w:t>
      </w:r>
      <w:r>
        <w:rPr>
          <w:rFonts w:hint="eastAsia" w:ascii="宋体" w:hAnsi="宋体" w:eastAsia="宋体" w:cs="Arial"/>
          <w:szCs w:val="21"/>
          <w:highlight w:val="none"/>
        </w:rPr>
        <w:t>以提升大学生人文素养为主线，以培养和提高其使用母语文字完成阅读鉴赏、应用写作、表达交流等综合能力为重点，主要学习分析经典文学作品、撰写生活和职业情境的应用文、练习社会交往谈话与职业活动的专题表达等知识与技能</w:t>
      </w:r>
      <w:r>
        <w:rPr>
          <w:rFonts w:hint="eastAsia" w:ascii="宋体" w:hAnsi="宋体" w:eastAsia="宋体" w:cs="Times New Roman"/>
          <w:szCs w:val="21"/>
          <w:highlight w:val="none"/>
        </w:rPr>
        <w:t>。通过课程学习，</w:t>
      </w:r>
      <w:r>
        <w:rPr>
          <w:rFonts w:hint="eastAsia" w:ascii="宋体" w:hAnsi="宋体" w:eastAsia="宋体" w:cs="Arial"/>
          <w:szCs w:val="21"/>
          <w:highlight w:val="none"/>
        </w:rPr>
        <w:t>在阅读与理解、表达与交流、传承与创新等语文实践中，进一步培养学生的语言文化素养，提升学生的阅读鉴赏、应用写作、与人交流、专题表达等语言能力，促进学生的专业学习和综合素质提升，</w:t>
      </w:r>
      <w:r>
        <w:rPr>
          <w:rFonts w:hint="eastAsia" w:ascii="宋体" w:hAnsi="宋体" w:eastAsia="宋体" w:cs="Times New Roman"/>
          <w:szCs w:val="21"/>
          <w:highlight w:val="none"/>
        </w:rPr>
        <w:t>为未来的社会生活和职业发展奠定良好的基础。</w:t>
      </w:r>
      <w:r>
        <w:rPr>
          <w:rFonts w:hint="eastAsia" w:ascii="宋体" w:hAnsi="宋体" w:eastAsia="宋体" w:cs="宋体"/>
          <w:kern w:val="0"/>
          <w:szCs w:val="21"/>
          <w:highlight w:val="none"/>
        </w:rPr>
        <w:t>教师应综合运用讲授、情景模拟、启发式、任务驱动、问题讨论、练习、测试、案例分析等方式方法和现代多媒体等教学手段组织教学。</w:t>
      </w:r>
    </w:p>
    <w:p>
      <w:pPr>
        <w:spacing w:line="380" w:lineRule="exact"/>
        <w:ind w:firstLine="420" w:firstLineChars="200"/>
        <w:rPr>
          <w:rFonts w:ascii="仿宋_GB2312" w:hAnsi="宋体" w:eastAsia="仿宋_GB2312" w:cs="宋体"/>
          <w:kern w:val="0"/>
          <w:szCs w:val="21"/>
          <w:highlight w:val="none"/>
        </w:rPr>
      </w:pPr>
      <w:r>
        <w:rPr>
          <w:rFonts w:ascii="仿宋_GB2312" w:hAnsi="宋体" w:eastAsia="仿宋_GB2312" w:cs="宋体"/>
          <w:kern w:val="0"/>
          <w:szCs w:val="21"/>
          <w:highlight w:val="none"/>
        </w:rPr>
        <w:t>9</w:t>
      </w:r>
      <w:r>
        <w:rPr>
          <w:rFonts w:hint="eastAsia" w:ascii="仿宋_GB2312" w:hAnsi="宋体" w:eastAsia="仿宋_GB2312" w:cs="宋体"/>
          <w:kern w:val="0"/>
          <w:szCs w:val="21"/>
          <w:highlight w:val="none"/>
        </w:rPr>
        <w:t>.实用大学数学   （</w:t>
      </w:r>
      <w:r>
        <w:rPr>
          <w:rFonts w:hint="eastAsia" w:ascii="宋体" w:hAnsi="宋体" w:eastAsia="宋体" w:cs="宋体"/>
          <w:kern w:val="0"/>
          <w:szCs w:val="21"/>
          <w:highlight w:val="none"/>
          <w:lang w:eastAsia="zh-CN"/>
        </w:rPr>
        <w:t>510211</w:t>
      </w:r>
      <w:r>
        <w:rPr>
          <w:rFonts w:ascii="宋体" w:hAnsi="宋体" w:eastAsia="宋体" w:cs="宋体"/>
          <w:kern w:val="0"/>
          <w:szCs w:val="21"/>
          <w:highlight w:val="none"/>
        </w:rPr>
        <w:t>11</w:t>
      </w:r>
      <w:r>
        <w:rPr>
          <w:rFonts w:hint="eastAsia" w:ascii="宋体" w:hAnsi="宋体" w:eastAsia="宋体" w:cs="宋体"/>
          <w:kern w:val="0"/>
          <w:szCs w:val="21"/>
          <w:highlight w:val="none"/>
        </w:rPr>
        <w:t>13</w:t>
      </w:r>
      <w:r>
        <w:rPr>
          <w:rFonts w:hint="eastAsia" w:ascii="仿宋_GB2312" w:hAnsi="宋体" w:eastAsia="仿宋_GB2312" w:cs="宋体"/>
          <w:kern w:val="0"/>
          <w:szCs w:val="21"/>
          <w:highlight w:val="none"/>
        </w:rPr>
        <w:t>）  （4</w:t>
      </w:r>
      <w:r>
        <w:rPr>
          <w:rFonts w:ascii="仿宋_GB2312" w:hAnsi="宋体" w:eastAsia="仿宋_GB2312" w:cs="宋体"/>
          <w:kern w:val="0"/>
          <w:szCs w:val="21"/>
          <w:highlight w:val="none"/>
        </w:rPr>
        <w:t>8</w:t>
      </w:r>
      <w:r>
        <w:rPr>
          <w:rFonts w:hint="eastAsia" w:ascii="仿宋_GB2312" w:hAnsi="宋体" w:eastAsia="仿宋_GB2312" w:cs="宋体"/>
          <w:kern w:val="0"/>
          <w:szCs w:val="21"/>
          <w:highlight w:val="none"/>
        </w:rPr>
        <w:t>课时）</w:t>
      </w:r>
    </w:p>
    <w:p>
      <w:pPr>
        <w:spacing w:line="380" w:lineRule="exact"/>
        <w:ind w:firstLine="420"/>
        <w:rPr>
          <w:rFonts w:ascii="宋体" w:hAnsi="宋体" w:eastAsia="宋体" w:cs="Times New Roman"/>
          <w:szCs w:val="21"/>
          <w:highlight w:val="none"/>
        </w:rPr>
      </w:pPr>
      <w:r>
        <w:rPr>
          <w:rFonts w:hint="eastAsia" w:ascii="宋体" w:hAnsi="宋体" w:eastAsia="宋体" w:cs="Times New Roman"/>
          <w:szCs w:val="21"/>
          <w:highlight w:val="none"/>
        </w:rPr>
        <w:t>本课程主要学习现代科学技术和管理所必备的数学基础知识和基本技能，应用数学知识构建模型，实现项目教学。包括数学初等模型，函数极限，一元函数微积分，微分方程，线性规划等内容。通过课程学习，重点培养与提升学生的逻辑思维、数字运用、数据阅读与分析、数据整理、空间想象等数学素质，训练学生用数学思想、概念、方法并结合自身的专业把所学理论和方法运用于实践，为学业发展和职业能力提升奠定良好的基础。教师应综合运用讲授、启发、图表、任务驱动、问题讨论、练习、测试等方式方法和现代多媒体等教学手段组织教学。</w:t>
      </w:r>
    </w:p>
    <w:p>
      <w:pPr>
        <w:spacing w:line="380" w:lineRule="exact"/>
        <w:ind w:firstLine="420"/>
        <w:rPr>
          <w:rFonts w:ascii="仿宋_GB2312" w:hAnsi="宋体" w:eastAsia="仿宋_GB2312" w:cs="宋体"/>
          <w:kern w:val="0"/>
          <w:szCs w:val="21"/>
          <w:highlight w:val="none"/>
        </w:rPr>
      </w:pPr>
      <w:r>
        <w:rPr>
          <w:rFonts w:ascii="仿宋" w:hAnsi="仿宋" w:eastAsia="仿宋" w:cs="仿宋"/>
          <w:kern w:val="0"/>
          <w:szCs w:val="21"/>
          <w:highlight w:val="none"/>
        </w:rPr>
        <w:t>10</w:t>
      </w:r>
      <w:r>
        <w:rPr>
          <w:rFonts w:hint="eastAsia" w:ascii="仿宋" w:hAnsi="仿宋" w:eastAsia="仿宋" w:cs="仿宋"/>
          <w:kern w:val="0"/>
          <w:szCs w:val="21"/>
          <w:highlight w:val="none"/>
        </w:rPr>
        <w:t>.</w:t>
      </w:r>
      <w:r>
        <w:rPr>
          <w:rFonts w:hint="eastAsia" w:ascii="仿宋_GB2312" w:hAnsi="宋体" w:eastAsia="仿宋_GB2312" w:cs="宋体"/>
          <w:kern w:val="0"/>
          <w:szCs w:val="21"/>
          <w:highlight w:val="none"/>
        </w:rPr>
        <w:t>体育与健康  （</w:t>
      </w:r>
      <w:r>
        <w:rPr>
          <w:rFonts w:hint="eastAsia" w:ascii="宋体" w:hAnsi="宋体" w:eastAsia="宋体" w:cs="宋体"/>
          <w:kern w:val="0"/>
          <w:szCs w:val="21"/>
          <w:highlight w:val="none"/>
          <w:lang w:eastAsia="zh-CN"/>
        </w:rPr>
        <w:t>510211</w:t>
      </w:r>
      <w:r>
        <w:rPr>
          <w:rFonts w:ascii="宋体" w:hAnsi="宋体" w:eastAsia="宋体" w:cs="宋体"/>
          <w:kern w:val="0"/>
          <w:szCs w:val="21"/>
          <w:highlight w:val="none"/>
        </w:rPr>
        <w:t>11</w:t>
      </w:r>
      <w:r>
        <w:rPr>
          <w:rFonts w:hint="eastAsia" w:ascii="宋体" w:hAnsi="宋体" w:eastAsia="宋体" w:cs="宋体"/>
          <w:kern w:val="0"/>
          <w:szCs w:val="21"/>
          <w:highlight w:val="none"/>
        </w:rPr>
        <w:t>51</w:t>
      </w:r>
      <w:r>
        <w:rPr>
          <w:rFonts w:hint="eastAsia" w:ascii="仿宋_GB2312" w:hAnsi="宋体" w:eastAsia="仿宋_GB2312" w:cs="宋体"/>
          <w:kern w:val="0"/>
          <w:szCs w:val="21"/>
          <w:highlight w:val="none"/>
        </w:rPr>
        <w:t>） （118学时）</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主要学习健康知识和科学健身、大学生常规体育运动项目的基础知识和基本技能，分设4学期完成，第1、2学期综合学习体育与健康运动的基础知识及技能，第3、4学期集中学习体育选项的综合技能。通过课程学习，引导学生坚持 “健康第一”的科学思想，积极提升常规社会体育、健身项目的科学素养与技能水平，熟悉掌握科学健身与锻炼的方法，努力参加阳光体育运动，促进自身体质的健康发展。</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第3、4学期学习的体育选项包括体育舞蹈（</w:t>
      </w:r>
      <w:r>
        <w:rPr>
          <w:rFonts w:hint="eastAsia" w:ascii="仿宋_GB2312" w:hAnsi="宋体" w:eastAsia="仿宋_GB2312" w:cs="宋体"/>
          <w:kern w:val="0"/>
          <w:szCs w:val="21"/>
          <w:highlight w:val="none"/>
          <w:lang w:eastAsia="zh-CN"/>
        </w:rPr>
        <w:t>510211</w:t>
      </w:r>
      <w:r>
        <w:rPr>
          <w:rFonts w:ascii="仿宋_GB2312" w:hAnsi="宋体" w:eastAsia="仿宋_GB2312" w:cs="宋体"/>
          <w:kern w:val="0"/>
          <w:szCs w:val="21"/>
          <w:highlight w:val="none"/>
        </w:rPr>
        <w:t>1151</w:t>
      </w:r>
      <w:r>
        <w:rPr>
          <w:rFonts w:hint="eastAsia" w:ascii="宋体" w:hAnsi="宋体" w:eastAsia="宋体" w:cs="宋体"/>
          <w:kern w:val="0"/>
          <w:szCs w:val="21"/>
          <w:highlight w:val="none"/>
        </w:rPr>
        <w:t>A）、跆拳道训练（</w:t>
      </w:r>
      <w:r>
        <w:rPr>
          <w:rFonts w:hint="eastAsia" w:ascii="宋体" w:hAnsi="宋体" w:eastAsia="宋体" w:cs="宋体"/>
          <w:kern w:val="0"/>
          <w:szCs w:val="21"/>
          <w:highlight w:val="none"/>
          <w:lang w:eastAsia="zh-CN"/>
        </w:rPr>
        <w:t>510211</w:t>
      </w:r>
      <w:r>
        <w:rPr>
          <w:rFonts w:ascii="宋体" w:hAnsi="宋体" w:eastAsia="宋体" w:cs="宋体"/>
          <w:kern w:val="0"/>
          <w:szCs w:val="21"/>
          <w:highlight w:val="none"/>
        </w:rPr>
        <w:t>11</w:t>
      </w:r>
      <w:r>
        <w:rPr>
          <w:rFonts w:hint="eastAsia" w:ascii="宋体" w:hAnsi="宋体" w:eastAsia="宋体" w:cs="宋体"/>
          <w:kern w:val="0"/>
          <w:szCs w:val="21"/>
          <w:highlight w:val="none"/>
        </w:rPr>
        <w:t>51B）、健美操训练（</w:t>
      </w:r>
      <w:r>
        <w:rPr>
          <w:rFonts w:hint="eastAsia" w:ascii="宋体" w:hAnsi="宋体" w:eastAsia="宋体" w:cs="宋体"/>
          <w:kern w:val="0"/>
          <w:szCs w:val="21"/>
          <w:highlight w:val="none"/>
          <w:lang w:eastAsia="zh-CN"/>
        </w:rPr>
        <w:t>510211</w:t>
      </w:r>
      <w:r>
        <w:rPr>
          <w:rFonts w:ascii="宋体" w:hAnsi="宋体" w:eastAsia="宋体" w:cs="宋体"/>
          <w:kern w:val="0"/>
          <w:szCs w:val="21"/>
          <w:highlight w:val="none"/>
        </w:rPr>
        <w:t>11</w:t>
      </w:r>
      <w:r>
        <w:rPr>
          <w:rFonts w:hint="eastAsia" w:ascii="宋体" w:hAnsi="宋体" w:eastAsia="宋体" w:cs="宋体"/>
          <w:kern w:val="0"/>
          <w:szCs w:val="21"/>
          <w:highlight w:val="none"/>
        </w:rPr>
        <w:t>51C）、篮球训练（</w:t>
      </w:r>
      <w:r>
        <w:rPr>
          <w:rFonts w:hint="eastAsia" w:ascii="宋体" w:hAnsi="宋体" w:eastAsia="宋体" w:cs="宋体"/>
          <w:kern w:val="0"/>
          <w:szCs w:val="21"/>
          <w:highlight w:val="none"/>
          <w:lang w:eastAsia="zh-CN"/>
        </w:rPr>
        <w:t>510211</w:t>
      </w:r>
      <w:r>
        <w:rPr>
          <w:rFonts w:ascii="宋体" w:hAnsi="宋体" w:eastAsia="宋体" w:cs="宋体"/>
          <w:kern w:val="0"/>
          <w:szCs w:val="21"/>
          <w:highlight w:val="none"/>
        </w:rPr>
        <w:t>11</w:t>
      </w:r>
      <w:r>
        <w:rPr>
          <w:rFonts w:hint="eastAsia" w:ascii="宋体" w:hAnsi="宋体" w:eastAsia="宋体" w:cs="宋体"/>
          <w:kern w:val="0"/>
          <w:szCs w:val="21"/>
          <w:highlight w:val="none"/>
        </w:rPr>
        <w:t>51D）、足球训练（</w:t>
      </w:r>
      <w:r>
        <w:rPr>
          <w:rFonts w:hint="eastAsia" w:ascii="宋体" w:hAnsi="宋体" w:eastAsia="宋体" w:cs="宋体"/>
          <w:kern w:val="0"/>
          <w:szCs w:val="21"/>
          <w:highlight w:val="none"/>
          <w:lang w:eastAsia="zh-CN"/>
        </w:rPr>
        <w:t>510211</w:t>
      </w:r>
      <w:r>
        <w:rPr>
          <w:rFonts w:ascii="宋体" w:hAnsi="宋体" w:eastAsia="宋体" w:cs="宋体"/>
          <w:kern w:val="0"/>
          <w:szCs w:val="21"/>
          <w:highlight w:val="none"/>
        </w:rPr>
        <w:t>11</w:t>
      </w:r>
      <w:r>
        <w:rPr>
          <w:rFonts w:hint="eastAsia" w:ascii="宋体" w:hAnsi="宋体" w:eastAsia="宋体" w:cs="宋体"/>
          <w:kern w:val="0"/>
          <w:szCs w:val="21"/>
          <w:highlight w:val="none"/>
        </w:rPr>
        <w:t>51E）、排球训练（</w:t>
      </w:r>
      <w:r>
        <w:rPr>
          <w:rFonts w:hint="eastAsia" w:ascii="宋体" w:hAnsi="宋体" w:eastAsia="宋体" w:cs="宋体"/>
          <w:kern w:val="0"/>
          <w:szCs w:val="21"/>
          <w:highlight w:val="none"/>
          <w:lang w:eastAsia="zh-CN"/>
        </w:rPr>
        <w:t>510211</w:t>
      </w:r>
      <w:r>
        <w:rPr>
          <w:rFonts w:ascii="宋体" w:hAnsi="宋体" w:eastAsia="宋体" w:cs="宋体"/>
          <w:kern w:val="0"/>
          <w:szCs w:val="21"/>
          <w:highlight w:val="none"/>
        </w:rPr>
        <w:t>11</w:t>
      </w:r>
      <w:r>
        <w:rPr>
          <w:rFonts w:hint="eastAsia" w:ascii="宋体" w:hAnsi="宋体" w:eastAsia="宋体" w:cs="宋体"/>
          <w:kern w:val="0"/>
          <w:szCs w:val="21"/>
          <w:highlight w:val="none"/>
        </w:rPr>
        <w:t>51F）、羽毛球训练（</w:t>
      </w:r>
      <w:r>
        <w:rPr>
          <w:rFonts w:hint="eastAsia" w:ascii="宋体" w:hAnsi="宋体" w:eastAsia="宋体" w:cs="宋体"/>
          <w:kern w:val="0"/>
          <w:szCs w:val="21"/>
          <w:highlight w:val="none"/>
          <w:lang w:eastAsia="zh-CN"/>
        </w:rPr>
        <w:t>510211</w:t>
      </w:r>
      <w:r>
        <w:rPr>
          <w:rFonts w:ascii="宋体" w:hAnsi="宋体" w:eastAsia="宋体" w:cs="宋体"/>
          <w:kern w:val="0"/>
          <w:szCs w:val="21"/>
          <w:highlight w:val="none"/>
        </w:rPr>
        <w:t>11</w:t>
      </w:r>
      <w:r>
        <w:rPr>
          <w:rFonts w:hint="eastAsia" w:ascii="宋体" w:hAnsi="宋体" w:eastAsia="宋体" w:cs="宋体"/>
          <w:kern w:val="0"/>
          <w:szCs w:val="21"/>
          <w:highlight w:val="none"/>
        </w:rPr>
        <w:t>51G）、网球训练（</w:t>
      </w:r>
      <w:r>
        <w:rPr>
          <w:rFonts w:hint="eastAsia" w:ascii="宋体" w:hAnsi="宋体" w:eastAsia="宋体" w:cs="宋体"/>
          <w:kern w:val="0"/>
          <w:szCs w:val="21"/>
          <w:highlight w:val="none"/>
          <w:lang w:eastAsia="zh-CN"/>
        </w:rPr>
        <w:t>510211</w:t>
      </w:r>
      <w:r>
        <w:rPr>
          <w:rFonts w:ascii="宋体" w:hAnsi="宋体" w:eastAsia="宋体" w:cs="宋体"/>
          <w:kern w:val="0"/>
          <w:szCs w:val="21"/>
          <w:highlight w:val="none"/>
        </w:rPr>
        <w:t>11</w:t>
      </w:r>
      <w:r>
        <w:rPr>
          <w:rFonts w:hint="eastAsia" w:ascii="宋体" w:hAnsi="宋体" w:eastAsia="宋体" w:cs="宋体"/>
          <w:kern w:val="0"/>
          <w:szCs w:val="21"/>
          <w:highlight w:val="none"/>
        </w:rPr>
        <w:t>51H）、乒乓球训练（</w:t>
      </w:r>
      <w:r>
        <w:rPr>
          <w:rFonts w:hint="eastAsia" w:ascii="宋体" w:hAnsi="宋体" w:eastAsia="宋体" w:cs="宋体"/>
          <w:kern w:val="0"/>
          <w:szCs w:val="21"/>
          <w:highlight w:val="none"/>
          <w:lang w:eastAsia="zh-CN"/>
        </w:rPr>
        <w:t>510211</w:t>
      </w:r>
      <w:r>
        <w:rPr>
          <w:rFonts w:ascii="宋体" w:hAnsi="宋体" w:eastAsia="宋体" w:cs="宋体"/>
          <w:kern w:val="0"/>
          <w:szCs w:val="21"/>
          <w:highlight w:val="none"/>
        </w:rPr>
        <w:t>11</w:t>
      </w:r>
      <w:r>
        <w:rPr>
          <w:rFonts w:hint="eastAsia" w:ascii="宋体" w:hAnsi="宋体" w:eastAsia="宋体" w:cs="宋体"/>
          <w:kern w:val="0"/>
          <w:szCs w:val="21"/>
          <w:highlight w:val="none"/>
        </w:rPr>
        <w:t>51J）、武术基础训练（</w:t>
      </w:r>
      <w:r>
        <w:rPr>
          <w:rFonts w:hint="eastAsia" w:ascii="宋体" w:hAnsi="宋体" w:eastAsia="宋体" w:cs="宋体"/>
          <w:kern w:val="0"/>
          <w:szCs w:val="21"/>
          <w:highlight w:val="none"/>
          <w:lang w:eastAsia="zh-CN"/>
        </w:rPr>
        <w:t>510211</w:t>
      </w:r>
      <w:r>
        <w:rPr>
          <w:rFonts w:ascii="宋体" w:hAnsi="宋体" w:eastAsia="宋体" w:cs="宋体"/>
          <w:kern w:val="0"/>
          <w:szCs w:val="21"/>
          <w:highlight w:val="none"/>
        </w:rPr>
        <w:t>11</w:t>
      </w:r>
      <w:r>
        <w:rPr>
          <w:rFonts w:hint="eastAsia" w:ascii="宋体" w:hAnsi="宋体" w:eastAsia="宋体" w:cs="宋体"/>
          <w:kern w:val="0"/>
          <w:szCs w:val="21"/>
          <w:highlight w:val="none"/>
        </w:rPr>
        <w:t>51K）、瑜伽基础训练（</w:t>
      </w:r>
      <w:r>
        <w:rPr>
          <w:rFonts w:hint="eastAsia" w:ascii="宋体" w:hAnsi="宋体" w:eastAsia="宋体" w:cs="宋体"/>
          <w:kern w:val="0"/>
          <w:szCs w:val="21"/>
          <w:highlight w:val="none"/>
          <w:lang w:eastAsia="zh-CN"/>
        </w:rPr>
        <w:t>510211</w:t>
      </w:r>
      <w:r>
        <w:rPr>
          <w:rFonts w:ascii="宋体" w:hAnsi="宋体" w:eastAsia="宋体" w:cs="宋体"/>
          <w:kern w:val="0"/>
          <w:szCs w:val="21"/>
          <w:highlight w:val="none"/>
        </w:rPr>
        <w:t>11</w:t>
      </w:r>
      <w:r>
        <w:rPr>
          <w:rFonts w:hint="eastAsia" w:ascii="宋体" w:hAnsi="宋体" w:eastAsia="宋体" w:cs="宋体"/>
          <w:kern w:val="0"/>
          <w:szCs w:val="21"/>
          <w:highlight w:val="none"/>
        </w:rPr>
        <w:t>51L）、拉丁舞（</w:t>
      </w:r>
      <w:r>
        <w:rPr>
          <w:rFonts w:hint="eastAsia" w:ascii="宋体" w:hAnsi="宋体" w:eastAsia="宋体" w:cs="宋体"/>
          <w:kern w:val="0"/>
          <w:szCs w:val="21"/>
          <w:highlight w:val="none"/>
          <w:lang w:eastAsia="zh-CN"/>
        </w:rPr>
        <w:t>510211</w:t>
      </w:r>
      <w:r>
        <w:rPr>
          <w:rFonts w:ascii="宋体" w:hAnsi="宋体" w:eastAsia="宋体" w:cs="宋体"/>
          <w:kern w:val="0"/>
          <w:szCs w:val="21"/>
          <w:highlight w:val="none"/>
        </w:rPr>
        <w:t>11</w:t>
      </w:r>
      <w:r>
        <w:rPr>
          <w:rFonts w:hint="eastAsia" w:ascii="宋体" w:hAnsi="宋体" w:eastAsia="宋体" w:cs="宋体"/>
          <w:kern w:val="0"/>
          <w:szCs w:val="21"/>
          <w:highlight w:val="none"/>
        </w:rPr>
        <w:t>51M）。</w:t>
      </w:r>
    </w:p>
    <w:p>
      <w:pPr>
        <w:spacing w:line="380" w:lineRule="exact"/>
        <w:ind w:firstLine="420" w:firstLineChars="200"/>
        <w:rPr>
          <w:rFonts w:ascii="宋体" w:hAnsi="宋体" w:eastAsia="宋体" w:cs="仿宋"/>
          <w:kern w:val="0"/>
          <w:szCs w:val="21"/>
          <w:highlight w:val="none"/>
        </w:rPr>
      </w:pPr>
      <w:r>
        <w:rPr>
          <w:rFonts w:hint="eastAsia" w:ascii="宋体" w:hAnsi="宋体" w:eastAsia="宋体" w:cs="仿宋"/>
          <w:kern w:val="0"/>
          <w:szCs w:val="21"/>
          <w:highlight w:val="none"/>
        </w:rPr>
        <w:t>本课程</w:t>
      </w:r>
      <w:r>
        <w:rPr>
          <w:rFonts w:hint="eastAsia" w:ascii="宋体" w:hAnsi="宋体" w:eastAsia="宋体" w:cs="宋体"/>
          <w:kern w:val="0"/>
          <w:szCs w:val="21"/>
          <w:highlight w:val="none"/>
        </w:rPr>
        <w:t>分为公共体育与体育选项两模块，均含运动训练与运动理论两部分。运动</w:t>
      </w:r>
      <w:r>
        <w:rPr>
          <w:rFonts w:hint="eastAsia" w:ascii="宋体" w:hAnsi="宋体" w:eastAsia="宋体" w:cs="仿宋"/>
          <w:kern w:val="0"/>
          <w:szCs w:val="21"/>
          <w:highlight w:val="none"/>
        </w:rPr>
        <w:t>训练部分以集中实训、实践教学为主，主要学习运动训练，竞技比赛、裁判裁决等内容，教师应综合运用讲授、操作演示、反复练习等方式方法组织训练、课堂竞赛；运动理论部分以集中讲授和学生自主学习相结合，主要学习</w:t>
      </w:r>
      <w:r>
        <w:rPr>
          <w:rFonts w:hint="eastAsia" w:ascii="宋体" w:hAnsi="宋体" w:eastAsia="宋体" w:cs="宋体"/>
          <w:kern w:val="0"/>
          <w:szCs w:val="21"/>
          <w:highlight w:val="none"/>
        </w:rPr>
        <w:t>大学生常规体育运动项目的基础知识和基本技能要领</w:t>
      </w:r>
      <w:r>
        <w:rPr>
          <w:rFonts w:hint="eastAsia" w:ascii="宋体" w:hAnsi="宋体" w:eastAsia="宋体" w:cs="仿宋"/>
          <w:kern w:val="0"/>
          <w:szCs w:val="21"/>
          <w:highlight w:val="none"/>
        </w:rPr>
        <w:t>等内容；教师应综合运用讲授、启发式、问题讨论、竞赛视频赏析等方式方法和现代多媒体等教学手段组织教学。</w:t>
      </w:r>
    </w:p>
    <w:p>
      <w:pPr>
        <w:spacing w:line="380" w:lineRule="exact"/>
        <w:ind w:firstLine="420" w:firstLineChars="200"/>
        <w:rPr>
          <w:rFonts w:ascii="仿宋_GB2312" w:hAnsi="宋体" w:eastAsia="仿宋_GB2312" w:cs="宋体"/>
          <w:kern w:val="0"/>
          <w:szCs w:val="21"/>
          <w:highlight w:val="none"/>
        </w:rPr>
      </w:pPr>
      <w:r>
        <w:rPr>
          <w:rFonts w:hint="eastAsia" w:ascii="仿宋" w:hAnsi="仿宋" w:eastAsia="仿宋" w:cs="仿宋"/>
          <w:kern w:val="0"/>
          <w:szCs w:val="21"/>
          <w:highlight w:val="none"/>
        </w:rPr>
        <w:t>1</w:t>
      </w:r>
      <w:r>
        <w:rPr>
          <w:rFonts w:ascii="仿宋" w:hAnsi="仿宋" w:eastAsia="仿宋" w:cs="仿宋"/>
          <w:kern w:val="0"/>
          <w:szCs w:val="21"/>
          <w:highlight w:val="none"/>
        </w:rPr>
        <w:t>1</w:t>
      </w:r>
      <w:r>
        <w:rPr>
          <w:rFonts w:hint="eastAsia" w:ascii="仿宋" w:hAnsi="仿宋" w:eastAsia="仿宋" w:cs="仿宋"/>
          <w:kern w:val="0"/>
          <w:szCs w:val="21"/>
          <w:highlight w:val="none"/>
        </w:rPr>
        <w:t>.</w:t>
      </w:r>
      <w:r>
        <w:rPr>
          <w:rFonts w:hint="eastAsia" w:ascii="仿宋_GB2312" w:hAnsi="宋体" w:eastAsia="仿宋_GB2312" w:cs="宋体"/>
          <w:kern w:val="0"/>
          <w:szCs w:val="21"/>
          <w:highlight w:val="none"/>
        </w:rPr>
        <w:t>计算机应用基础（</w:t>
      </w:r>
      <w:r>
        <w:rPr>
          <w:rFonts w:hint="eastAsia" w:ascii="仿宋_GB2312" w:hAnsi="宋体" w:eastAsia="仿宋_GB2312" w:cs="宋体"/>
          <w:kern w:val="0"/>
          <w:szCs w:val="21"/>
          <w:highlight w:val="none"/>
          <w:lang w:eastAsia="zh-CN"/>
        </w:rPr>
        <w:t>510211</w:t>
      </w:r>
      <w:r>
        <w:rPr>
          <w:rFonts w:ascii="仿宋_GB2312" w:hAnsi="宋体" w:eastAsia="仿宋_GB2312" w:cs="宋体"/>
          <w:kern w:val="0"/>
          <w:szCs w:val="21"/>
          <w:highlight w:val="none"/>
        </w:rPr>
        <w:t>11</w:t>
      </w:r>
      <w:r>
        <w:rPr>
          <w:rFonts w:hint="eastAsia" w:ascii="仿宋_GB2312" w:hAnsi="宋体" w:eastAsia="仿宋_GB2312" w:cs="宋体"/>
          <w:kern w:val="0"/>
          <w:szCs w:val="21"/>
          <w:highlight w:val="none"/>
        </w:rPr>
        <w:t>14）  （60学时）</w:t>
      </w:r>
    </w:p>
    <w:p>
      <w:pPr>
        <w:spacing w:line="380" w:lineRule="exact"/>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本课程通过深入实际的项目化教学案例，介绍了计算机的系统知识、Windows 7操作系统的基本应用、Internet的常见操作以及Office 2010办公自动化软件（Word、Excel、Powerpoint）的基本应用。通过对课程的学习，学生能够使用常用办公软件较好地完成Word文档的排版、表格的制作、</w:t>
      </w:r>
    </w:p>
    <w:p>
      <w:pPr>
        <w:spacing w:line="380" w:lineRule="exact"/>
        <w:rPr>
          <w:rFonts w:ascii="仿宋" w:hAnsi="仿宋" w:eastAsia="仿宋" w:cs="仿宋"/>
          <w:kern w:val="0"/>
          <w:szCs w:val="21"/>
          <w:highlight w:val="none"/>
        </w:rPr>
      </w:pPr>
      <w:r>
        <w:rPr>
          <w:rFonts w:hint="eastAsia" w:ascii="宋体" w:hAnsi="宋体" w:eastAsia="宋体" w:cs="宋体"/>
          <w:kern w:val="0"/>
          <w:szCs w:val="21"/>
          <w:highlight w:val="none"/>
        </w:rPr>
        <w:t>文档的打印以及Excel数据的分析与处理，并且能够熟练地制作演示文稿，学会合理地利用Internet网络资源进行资料的收集和信息的处理。教师在授课过程中综合运用案例演示法、启发式教学、任务驱动法等方式，结合现代多媒体技术及信息化技术手段组织教学。</w:t>
      </w:r>
      <w:r>
        <w:rPr>
          <w:rFonts w:hint="eastAsia" w:ascii="仿宋_GB2312" w:hAnsi="宋体" w:eastAsia="仿宋_GB2312" w:cs="宋体"/>
          <w:kern w:val="0"/>
          <w:szCs w:val="21"/>
          <w:highlight w:val="none"/>
        </w:rPr>
        <w:t xml:space="preserve"> </w:t>
      </w:r>
      <w:r>
        <w:rPr>
          <w:rFonts w:hint="eastAsia" w:ascii="仿宋" w:hAnsi="仿宋" w:eastAsia="仿宋" w:cs="仿宋"/>
          <w:kern w:val="0"/>
          <w:szCs w:val="21"/>
          <w:highlight w:val="none"/>
        </w:rPr>
        <w:t xml:space="preserve">  </w:t>
      </w:r>
    </w:p>
    <w:p>
      <w:pPr>
        <w:spacing w:line="380" w:lineRule="exact"/>
        <w:ind w:firstLine="420" w:firstLineChars="200"/>
        <w:rPr>
          <w:rFonts w:ascii="仿宋_GB2312" w:hAnsi="宋体" w:eastAsia="仿宋_GB2312" w:cs="宋体"/>
          <w:kern w:val="0"/>
          <w:szCs w:val="21"/>
          <w:highlight w:val="none"/>
        </w:rPr>
      </w:pPr>
      <w:r>
        <w:rPr>
          <w:rFonts w:hint="eastAsia" w:ascii="仿宋" w:hAnsi="仿宋" w:eastAsia="仿宋" w:cs="仿宋"/>
          <w:kern w:val="0"/>
          <w:szCs w:val="21"/>
          <w:highlight w:val="none"/>
        </w:rPr>
        <w:t xml:space="preserve"> 1</w:t>
      </w:r>
      <w:r>
        <w:rPr>
          <w:rFonts w:ascii="仿宋" w:hAnsi="仿宋" w:eastAsia="仿宋" w:cs="仿宋"/>
          <w:kern w:val="0"/>
          <w:szCs w:val="21"/>
          <w:highlight w:val="none"/>
        </w:rPr>
        <w:t>2</w:t>
      </w:r>
      <w:r>
        <w:rPr>
          <w:rFonts w:hint="eastAsia" w:ascii="仿宋_GB2312" w:eastAsia="仿宋_GB2312" w:cs="Times New Roman"/>
          <w:szCs w:val="21"/>
          <w:highlight w:val="none"/>
        </w:rPr>
        <w:t>.</w:t>
      </w:r>
      <w:r>
        <w:rPr>
          <w:rFonts w:hint="eastAsia" w:ascii="仿宋_GB2312" w:hAnsi="宋体" w:eastAsia="仿宋_GB2312" w:cs="宋体"/>
          <w:kern w:val="0"/>
          <w:szCs w:val="21"/>
          <w:highlight w:val="none"/>
        </w:rPr>
        <w:t>大学生创新创业基础（</w:t>
      </w:r>
      <w:r>
        <w:rPr>
          <w:rFonts w:hint="eastAsia" w:ascii="仿宋_GB2312" w:hAnsi="宋体" w:eastAsia="仿宋_GB2312" w:cs="宋体"/>
          <w:kern w:val="0"/>
          <w:szCs w:val="21"/>
          <w:highlight w:val="none"/>
          <w:lang w:eastAsia="zh-CN"/>
        </w:rPr>
        <w:t>510211</w:t>
      </w:r>
      <w:r>
        <w:rPr>
          <w:rFonts w:ascii="仿宋_GB2312" w:hAnsi="宋体" w:eastAsia="仿宋_GB2312" w:cs="宋体"/>
          <w:kern w:val="0"/>
          <w:szCs w:val="21"/>
          <w:highlight w:val="none"/>
        </w:rPr>
        <w:t>1144</w:t>
      </w:r>
      <w:r>
        <w:rPr>
          <w:rFonts w:hint="eastAsia" w:ascii="仿宋_GB2312" w:hAnsi="宋体" w:eastAsia="仿宋_GB2312" w:cs="宋体"/>
          <w:kern w:val="0"/>
          <w:szCs w:val="21"/>
          <w:highlight w:val="none"/>
        </w:rPr>
        <w:t>）（14学时）</w:t>
      </w:r>
    </w:p>
    <w:p>
      <w:pPr>
        <w:spacing w:line="380" w:lineRule="exact"/>
        <w:ind w:firstLine="525" w:firstLineChars="250"/>
        <w:rPr>
          <w:rFonts w:ascii="宋体" w:hAnsi="宋体" w:eastAsia="宋体" w:cs="Times New Roman"/>
          <w:highlight w:val="none"/>
        </w:rPr>
      </w:pPr>
      <w:r>
        <w:rPr>
          <w:rFonts w:hint="eastAsia" w:ascii="宋体" w:hAnsi="宋体" w:eastAsia="宋体" w:cs="Times New Roman"/>
          <w:highlight w:val="none"/>
        </w:rPr>
        <w:t>本课程为创新创业教育课程群之的公共必修课，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新企业注册基本流程及要求，积极培养自身的创新精神与创业意识，努力提升创新创业的方法技能，为自己未来职业发展中的创新创业实践奠定良好基础。</w:t>
      </w:r>
      <w:r>
        <w:rPr>
          <w:rFonts w:hint="eastAsia" w:ascii="宋体" w:hAnsi="宋体" w:eastAsia="宋体" w:cs="宋体"/>
          <w:kern w:val="0"/>
          <w:szCs w:val="21"/>
          <w:highlight w:val="none"/>
        </w:rPr>
        <w:t>教师应综合运用讲授、启发、任务驱动、问题讨论、综合练习、测试、案例分析等方式方法和现代多媒体、互联网等教学手段组织教学。</w:t>
      </w:r>
    </w:p>
    <w:p>
      <w:pPr>
        <w:spacing w:line="380" w:lineRule="exact"/>
        <w:ind w:firstLine="420" w:firstLineChars="200"/>
        <w:rPr>
          <w:rFonts w:ascii="仿宋_GB2312" w:hAnsi="宋体" w:eastAsia="仿宋_GB2312" w:cs="宋体"/>
          <w:kern w:val="0"/>
          <w:szCs w:val="21"/>
          <w:highlight w:val="none"/>
        </w:rPr>
      </w:pPr>
      <w:r>
        <w:rPr>
          <w:rFonts w:hint="eastAsia" w:ascii="仿宋_GB2312" w:eastAsia="仿宋_GB2312" w:cs="Times New Roman"/>
          <w:szCs w:val="21"/>
          <w:highlight w:val="none"/>
        </w:rPr>
        <w:t>1</w:t>
      </w:r>
      <w:r>
        <w:rPr>
          <w:rFonts w:ascii="仿宋_GB2312" w:eastAsia="仿宋_GB2312" w:cs="Times New Roman"/>
          <w:szCs w:val="21"/>
          <w:highlight w:val="none"/>
        </w:rPr>
        <w:t>3</w:t>
      </w:r>
      <w:r>
        <w:rPr>
          <w:rFonts w:hint="eastAsia" w:ascii="仿宋_GB2312" w:eastAsia="仿宋_GB2312" w:cs="Times New Roman"/>
          <w:szCs w:val="21"/>
          <w:highlight w:val="none"/>
        </w:rPr>
        <w:t>.大学生</w:t>
      </w:r>
      <w:r>
        <w:rPr>
          <w:rFonts w:hint="eastAsia" w:ascii="仿宋_GB2312" w:hAnsi="宋体" w:eastAsia="仿宋_GB2312" w:cs="宋体"/>
          <w:kern w:val="0"/>
          <w:szCs w:val="21"/>
          <w:highlight w:val="none"/>
        </w:rPr>
        <w:t>就业指导（</w:t>
      </w:r>
      <w:r>
        <w:rPr>
          <w:rFonts w:hint="eastAsia" w:ascii="仿宋_GB2312" w:hAnsi="宋体" w:eastAsia="仿宋_GB2312" w:cs="宋体"/>
          <w:kern w:val="0"/>
          <w:szCs w:val="21"/>
          <w:highlight w:val="none"/>
          <w:lang w:eastAsia="zh-CN"/>
        </w:rPr>
        <w:t>510211</w:t>
      </w:r>
      <w:r>
        <w:rPr>
          <w:rFonts w:ascii="仿宋_GB2312" w:hAnsi="宋体" w:eastAsia="仿宋_GB2312" w:cs="宋体"/>
          <w:kern w:val="0"/>
          <w:szCs w:val="21"/>
          <w:highlight w:val="none"/>
        </w:rPr>
        <w:t>11</w:t>
      </w:r>
      <w:r>
        <w:rPr>
          <w:rFonts w:hint="eastAsia" w:ascii="仿宋_GB2312" w:hAnsi="宋体" w:eastAsia="仿宋_GB2312" w:cs="宋体"/>
          <w:kern w:val="0"/>
          <w:szCs w:val="21"/>
          <w:highlight w:val="none"/>
        </w:rPr>
        <w:t>52）（32学时）</w:t>
      </w:r>
    </w:p>
    <w:p>
      <w:pPr>
        <w:spacing w:line="380" w:lineRule="exact"/>
        <w:ind w:firstLine="420"/>
        <w:rPr>
          <w:rFonts w:ascii="宋体" w:hAnsi="宋体" w:eastAsia="宋体" w:cs="宋体"/>
          <w:kern w:val="0"/>
          <w:szCs w:val="21"/>
          <w:highlight w:val="none"/>
        </w:rPr>
      </w:pPr>
      <w:r>
        <w:rPr>
          <w:rFonts w:hint="eastAsia" w:ascii="Times New Roman" w:eastAsia="宋体" w:cs="Times New Roman"/>
          <w:highlight w:val="none"/>
        </w:rPr>
        <w:t>本课程为主要学习大学生就业形势与政策、就业信息的搜集与处理、求职技巧与应聘准备、就业权益保护、毕业报到等内容。通过课程学习，学生应深刻理解大学生就业形势与政策，树立正确的职业价值观与就业观，熟练掌握职业岗位需求信息搜集与处理、求职应聘的各项准备事项、就业权益保护的基本常识与技能，努力提升自身的基本职业素质，积极做好求职应聘的相关准备，认真完成学业，顺利实现毕业与就业，勇于探索与实践创业。</w:t>
      </w:r>
      <w:r>
        <w:rPr>
          <w:rFonts w:hint="eastAsia" w:ascii="宋体" w:hAnsi="宋体" w:eastAsia="宋体" w:cs="宋体"/>
          <w:kern w:val="0"/>
          <w:szCs w:val="21"/>
          <w:highlight w:val="none"/>
        </w:rPr>
        <w:t>教师应综合运用讲授、情景模拟、启发式、任务驱动、问题讨论、综合练习、案例分析等方式方法和现代多媒体、互联网等教学手段组织教学。</w:t>
      </w:r>
    </w:p>
    <w:p>
      <w:pPr>
        <w:spacing w:line="380" w:lineRule="exact"/>
        <w:ind w:firstLine="420"/>
        <w:rPr>
          <w:rFonts w:ascii="仿宋_GB2312" w:eastAsia="仿宋_GB2312" w:cs="Times New Roman"/>
          <w:szCs w:val="21"/>
          <w:highlight w:val="none"/>
        </w:rPr>
      </w:pPr>
      <w:r>
        <w:rPr>
          <w:rFonts w:hint="eastAsia" w:ascii="仿宋_GB2312" w:eastAsia="仿宋_GB2312" w:cs="Times New Roman"/>
          <w:szCs w:val="21"/>
          <w:highlight w:val="none"/>
        </w:rPr>
        <w:t>1</w:t>
      </w:r>
      <w:r>
        <w:rPr>
          <w:rFonts w:ascii="仿宋_GB2312" w:eastAsia="仿宋_GB2312" w:cs="Times New Roman"/>
          <w:szCs w:val="21"/>
          <w:highlight w:val="none"/>
        </w:rPr>
        <w:t>4</w:t>
      </w:r>
      <w:r>
        <w:rPr>
          <w:rFonts w:hint="eastAsia" w:ascii="仿宋_GB2312" w:eastAsia="仿宋_GB2312" w:cs="Times New Roman"/>
          <w:szCs w:val="21"/>
          <w:highlight w:val="none"/>
        </w:rPr>
        <w:t>.五粮文化育人学思践悟（</w:t>
      </w:r>
      <w:r>
        <w:rPr>
          <w:rFonts w:hint="eastAsia" w:ascii="仿宋_GB2312" w:hAnsi="宋体" w:eastAsia="仿宋_GB2312" w:cs="宋体"/>
          <w:kern w:val="0"/>
          <w:szCs w:val="21"/>
          <w:highlight w:val="none"/>
          <w:lang w:eastAsia="zh-CN"/>
        </w:rPr>
        <w:t>510211</w:t>
      </w:r>
      <w:r>
        <w:rPr>
          <w:rFonts w:ascii="仿宋_GB2312" w:hAnsi="宋体" w:eastAsia="仿宋_GB2312" w:cs="宋体"/>
          <w:kern w:val="0"/>
          <w:szCs w:val="21"/>
          <w:highlight w:val="none"/>
        </w:rPr>
        <w:t>1145</w:t>
      </w:r>
      <w:r>
        <w:rPr>
          <w:rFonts w:hint="eastAsia" w:ascii="仿宋_GB2312" w:eastAsia="仿宋_GB2312" w:cs="Times New Roman"/>
          <w:szCs w:val="21"/>
          <w:highlight w:val="none"/>
        </w:rPr>
        <w:t>）（16学时）</w:t>
      </w:r>
    </w:p>
    <w:p>
      <w:pPr>
        <w:spacing w:line="380" w:lineRule="exact"/>
        <w:ind w:firstLine="420" w:firstLineChars="200"/>
        <w:rPr>
          <w:rFonts w:ascii="仿宋_GB2312" w:hAnsi="宋体" w:eastAsia="仿宋_GB2312" w:cs="宋体"/>
          <w:kern w:val="0"/>
          <w:szCs w:val="21"/>
          <w:highlight w:val="none"/>
        </w:rPr>
      </w:pPr>
      <w:r>
        <w:rPr>
          <w:rFonts w:hint="eastAsia" w:ascii="宋体" w:hAnsi="宋体" w:eastAsia="宋体" w:cs="宋体"/>
          <w:kern w:val="0"/>
          <w:szCs w:val="21"/>
          <w:highlight w:val="none"/>
        </w:rPr>
        <w:t>本课程以历史——理论——实践为顺序，以探寻历史为逻辑起点，以传承中华优秀传统文化为主线，融通社会主义核心价值观，挖掘学校特有的粮食文化核心内涵——五粮文化育人理念，并对五粮文化育人理念进行深入阐释，将其融入育人实践中，让青年学生加强对五粮文化育人理念的认识和理解，推进社会主义核心价值观落实落细，最终实现培育新时代青年的目标。通篇贯彻习近平新时代中国特色社会主义思想，推进习近平新时代中国特色社会主义思想进教材、进课堂、进头脑。该课程通过教师讲授、</w:t>
      </w:r>
      <w:r>
        <w:rPr>
          <w:rFonts w:ascii="宋体" w:hAnsi="宋体" w:eastAsia="宋体" w:cs="宋体"/>
          <w:kern w:val="0"/>
          <w:szCs w:val="21"/>
          <w:highlight w:val="none"/>
        </w:rPr>
        <w:t>PPT演示、实践活动等形式开展教学，让学生在学思践悟中认识和理解</w:t>
      </w:r>
      <w:r>
        <w:rPr>
          <w:rFonts w:hint="eastAsia" w:ascii="宋体" w:hAnsi="宋体" w:eastAsia="宋体" w:cs="宋体"/>
          <w:kern w:val="0"/>
          <w:szCs w:val="21"/>
          <w:highlight w:val="none"/>
        </w:rPr>
        <w:t>五粮文化育人理念。</w:t>
      </w:r>
    </w:p>
    <w:p>
      <w:pPr>
        <w:spacing w:line="380" w:lineRule="exact"/>
        <w:rPr>
          <w:rFonts w:ascii="仿宋" w:hAnsi="仿宋" w:eastAsia="仿宋" w:cs="仿宋"/>
          <w:kern w:val="0"/>
          <w:szCs w:val="21"/>
          <w:highlight w:val="none"/>
        </w:rPr>
      </w:pPr>
      <w:r>
        <w:rPr>
          <w:rFonts w:hint="eastAsia" w:ascii="仿宋" w:hAnsi="仿宋" w:eastAsia="仿宋" w:cs="仿宋"/>
          <w:kern w:val="0"/>
          <w:szCs w:val="21"/>
          <w:highlight w:val="none"/>
        </w:rPr>
        <w:t xml:space="preserve">    1</w:t>
      </w:r>
      <w:r>
        <w:rPr>
          <w:rFonts w:ascii="仿宋" w:hAnsi="仿宋" w:eastAsia="仿宋" w:cs="仿宋"/>
          <w:kern w:val="0"/>
          <w:szCs w:val="21"/>
          <w:highlight w:val="none"/>
        </w:rPr>
        <w:t>5</w:t>
      </w:r>
      <w:r>
        <w:rPr>
          <w:rFonts w:hint="eastAsia" w:ascii="仿宋" w:hAnsi="仿宋" w:eastAsia="仿宋" w:cs="仿宋"/>
          <w:kern w:val="0"/>
          <w:szCs w:val="21"/>
          <w:highlight w:val="none"/>
        </w:rPr>
        <w:t>.大学生职业素质修炼（</w:t>
      </w:r>
      <w:r>
        <w:rPr>
          <w:rFonts w:hint="eastAsia" w:ascii="仿宋_GB2312" w:hAnsi="宋体" w:eastAsia="仿宋_GB2312" w:cs="宋体"/>
          <w:kern w:val="0"/>
          <w:szCs w:val="21"/>
          <w:highlight w:val="none"/>
          <w:lang w:eastAsia="zh-CN"/>
        </w:rPr>
        <w:t>510211</w:t>
      </w:r>
      <w:r>
        <w:rPr>
          <w:rFonts w:ascii="仿宋_GB2312" w:hAnsi="宋体" w:eastAsia="仿宋_GB2312" w:cs="宋体"/>
          <w:kern w:val="0"/>
          <w:szCs w:val="21"/>
          <w:highlight w:val="none"/>
        </w:rPr>
        <w:t>1146</w:t>
      </w:r>
      <w:r>
        <w:rPr>
          <w:rFonts w:hint="eastAsia" w:ascii="仿宋" w:hAnsi="仿宋" w:eastAsia="仿宋" w:cs="仿宋"/>
          <w:kern w:val="0"/>
          <w:szCs w:val="21"/>
          <w:highlight w:val="none"/>
        </w:rPr>
        <w:t>）（32学时）</w:t>
      </w:r>
    </w:p>
    <w:p>
      <w:pPr>
        <w:spacing w:line="380" w:lineRule="exact"/>
        <w:rPr>
          <w:rFonts w:ascii="宋体" w:hAnsi="宋体" w:eastAsia="宋体" w:cs="宋体"/>
          <w:kern w:val="0"/>
          <w:szCs w:val="21"/>
          <w:highlight w:val="none"/>
        </w:rPr>
      </w:pPr>
      <w:r>
        <w:rPr>
          <w:rFonts w:hint="eastAsia" w:ascii="宋体" w:hAnsi="宋体" w:eastAsia="宋体" w:cs="宋体"/>
          <w:kern w:val="0"/>
          <w:szCs w:val="21"/>
          <w:highlight w:val="none"/>
        </w:rPr>
        <w:t xml:space="preserve">    本课程是为职业院校的学生量身打造的旨在提升学生职业素质的一门必修通识实训课程，本课程立足高职学生现状，遵循高职生成长规律，着眼于提升学生职业素质、基本通用能力、关键社会能力和创新创业能力，服务于学生职业生涯发展，为培养可持续发展的高素质人才奠定基础。</w:t>
      </w:r>
    </w:p>
    <w:p>
      <w:pPr>
        <w:spacing w:line="380" w:lineRule="exact"/>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通过本课程的训练，使学生具备进取精神、诚信、积极心态、科学管理时间、责任心、敬业、吃苦精神、自信心、合作能力、自我调适能力等方面的职业素养，提高学生的综合素质，引导和促进学生从“校园人”向“职业人”和“中国公民”角色的良好转变与适应，为实现更高质量的就业创业和职业发展奠定基础。</w:t>
      </w:r>
    </w:p>
    <w:p>
      <w:pPr>
        <w:spacing w:line="380" w:lineRule="exact"/>
        <w:ind w:firstLine="420"/>
        <w:rPr>
          <w:rFonts w:ascii="宋体" w:hAnsi="宋体" w:eastAsia="宋体" w:cs="宋体"/>
          <w:kern w:val="0"/>
          <w:szCs w:val="21"/>
          <w:highlight w:val="none"/>
        </w:rPr>
      </w:pPr>
      <w:r>
        <w:rPr>
          <w:rFonts w:hint="eastAsia" w:ascii="宋体" w:hAnsi="宋体" w:eastAsia="宋体" w:cs="宋体"/>
          <w:kern w:val="0"/>
          <w:szCs w:val="21"/>
          <w:highlight w:val="none"/>
        </w:rPr>
        <w:t>本课程打破了通识课程理论授课的传统教学模式，分布二个学期开设，采用“教、学、做”一体化的教学设计，每个任务编写任务工单，教师按任务工单的设计，充分运用案例分析、行动导向、任务驱动等教学方式，指导学生在课堂上现场完成工作任务，在完成任务的过程中提升学生的交流沟通、团队合作、理解任务、组织任务实施和创新创业等能力。在教学过程中充分应用微信公众号、动画、网站资源、学生视频点赞等多种信息化教学手段。</w:t>
      </w:r>
    </w:p>
    <w:p>
      <w:pPr>
        <w:spacing w:line="360" w:lineRule="exact"/>
        <w:ind w:firstLine="420"/>
        <w:rPr>
          <w:rFonts w:ascii="仿宋" w:hAnsi="仿宋" w:eastAsia="仿宋" w:cs="仿宋"/>
          <w:kern w:val="0"/>
          <w:szCs w:val="21"/>
          <w:highlight w:val="none"/>
        </w:rPr>
      </w:pPr>
      <w:r>
        <w:rPr>
          <w:rFonts w:ascii="仿宋" w:hAnsi="仿宋" w:eastAsia="仿宋" w:cs="仿宋"/>
          <w:kern w:val="0"/>
          <w:szCs w:val="21"/>
          <w:highlight w:val="none"/>
        </w:rPr>
        <w:t>16.大学生安全教育（</w:t>
      </w:r>
      <w:r>
        <w:rPr>
          <w:rFonts w:hint="eastAsia" w:ascii="仿宋" w:hAnsi="仿宋" w:eastAsia="仿宋" w:cs="仿宋"/>
          <w:kern w:val="0"/>
          <w:szCs w:val="21"/>
          <w:highlight w:val="none"/>
          <w:lang w:eastAsia="zh-CN"/>
        </w:rPr>
        <w:t>510211</w:t>
      </w:r>
      <w:r>
        <w:rPr>
          <w:rFonts w:ascii="仿宋" w:hAnsi="仿宋" w:eastAsia="仿宋" w:cs="仿宋"/>
          <w:kern w:val="0"/>
          <w:szCs w:val="21"/>
          <w:highlight w:val="none"/>
        </w:rPr>
        <w:t>1147）（16学时）</w:t>
      </w:r>
    </w:p>
    <w:p>
      <w:pPr>
        <w:spacing w:line="360" w:lineRule="exact"/>
        <w:ind w:firstLine="420"/>
        <w:rPr>
          <w:rFonts w:ascii="宋体" w:hAnsi="宋体" w:eastAsia="宋体"/>
          <w:kern w:val="0"/>
          <w:szCs w:val="21"/>
          <w:highlight w:val="none"/>
        </w:rPr>
      </w:pPr>
      <w:r>
        <w:rPr>
          <w:rFonts w:hint="eastAsia" w:ascii="宋体" w:hAnsi="宋体" w:eastAsia="宋体"/>
          <w:kern w:val="0"/>
          <w:szCs w:val="21"/>
          <w:highlight w:val="none"/>
        </w:rPr>
        <w:t>通过本课程教育，使大学生应当树立起安全第一的意识，树立积极正确的安全观，把安全问题与个人发展和国家需要、社会发展相结合，为构筑平安人生互动付出积极的努力。大学生应当了解安全基本知识，掌握与安全问题相关的法律法规和校纪校规，安全问题所包含的基本内容，安全问题的社会、校园环境；了解安全信息、相关的安全问题分类知识以及安全保障的基本知识。大学生应当掌握安全防范技能、安全信息搜索与安全管理技能。掌握以安全为前提的自我保护技能、沟通技能、问题解决技能等。</w:t>
      </w:r>
    </w:p>
    <w:p>
      <w:pPr>
        <w:spacing w:line="360" w:lineRule="exact"/>
        <w:ind w:firstLine="420"/>
        <w:rPr>
          <w:rFonts w:ascii="仿宋" w:hAnsi="仿宋" w:eastAsia="仿宋" w:cs="仿宋"/>
          <w:kern w:val="0"/>
          <w:szCs w:val="21"/>
          <w:highlight w:val="none"/>
        </w:rPr>
      </w:pPr>
      <w:r>
        <w:rPr>
          <w:rFonts w:ascii="仿宋" w:hAnsi="仿宋" w:eastAsia="仿宋" w:cs="仿宋"/>
          <w:kern w:val="0"/>
          <w:szCs w:val="21"/>
          <w:highlight w:val="none"/>
        </w:rPr>
        <w:t>17.大学生健康教育（</w:t>
      </w:r>
      <w:r>
        <w:rPr>
          <w:rFonts w:hint="eastAsia" w:ascii="仿宋" w:hAnsi="仿宋" w:eastAsia="仿宋" w:cs="仿宋"/>
          <w:kern w:val="0"/>
          <w:szCs w:val="21"/>
          <w:highlight w:val="none"/>
          <w:lang w:eastAsia="zh-CN"/>
        </w:rPr>
        <w:t>510211</w:t>
      </w:r>
      <w:r>
        <w:rPr>
          <w:rFonts w:ascii="仿宋" w:hAnsi="仿宋" w:eastAsia="仿宋" w:cs="仿宋"/>
          <w:kern w:val="0"/>
          <w:szCs w:val="21"/>
          <w:highlight w:val="none"/>
        </w:rPr>
        <w:t>1148）（16学时）</w:t>
      </w:r>
    </w:p>
    <w:p>
      <w:pPr>
        <w:spacing w:line="360" w:lineRule="exact"/>
        <w:ind w:firstLine="420"/>
        <w:rPr>
          <w:rFonts w:ascii="宋体" w:hAnsi="宋体" w:eastAsia="宋体"/>
          <w:kern w:val="0"/>
          <w:szCs w:val="21"/>
          <w:highlight w:val="none"/>
        </w:rPr>
      </w:pPr>
      <w:r>
        <w:rPr>
          <w:rFonts w:hint="eastAsia" w:ascii="宋体" w:hAnsi="宋体" w:eastAsia="宋体"/>
          <w:kern w:val="0"/>
          <w:szCs w:val="21"/>
          <w:highlight w:val="none"/>
        </w:rPr>
        <w:t>本课程是为提高大学生健康水平而开设的一门全院公共基础课。也是为了适应大学生自我成长的迫切需要而开设的。旨在使学生掌握健康的基本知识，及时给予大学生积极的指导，帮助大学生正确认识自我、完善自我、发展自我、优化素质，提高健康水平，促进全面发展。使学生通过全部教学内容的学习，掌握健康发展特点以及影响因素，获得健康的基本概念和基础知识。初步形成多种视角的健康学观点，掌握一些基本的健康知识，并能将其与日常的学习、工作和生活紧密联系，能有效的自我调节。同时，在教学中通过案例教学，互动活动，培养学生动脑、动手的能力，提高学生的综合素质。</w:t>
      </w:r>
    </w:p>
    <w:p>
      <w:pPr>
        <w:spacing w:line="380" w:lineRule="exact"/>
        <w:ind w:firstLine="420"/>
        <w:rPr>
          <w:rFonts w:ascii="仿宋" w:hAnsi="仿宋" w:eastAsia="仿宋" w:cs="仿宋"/>
          <w:kern w:val="0"/>
          <w:szCs w:val="21"/>
          <w:highlight w:val="none"/>
        </w:rPr>
      </w:pPr>
      <w:r>
        <w:rPr>
          <w:rFonts w:ascii="仿宋" w:hAnsi="仿宋" w:eastAsia="仿宋" w:cs="仿宋"/>
          <w:kern w:val="0"/>
          <w:szCs w:val="21"/>
          <w:highlight w:val="none"/>
        </w:rPr>
        <w:t>18.第二课堂学分（创新创业实践）</w:t>
      </w:r>
      <w:r>
        <w:rPr>
          <w:rFonts w:hint="eastAsia" w:ascii="仿宋_GB2312" w:hAnsi="仿宋_GB2312" w:eastAsia="仿宋_GB2312" w:cs="仿宋_GB2312"/>
          <w:kern w:val="0"/>
          <w:szCs w:val="21"/>
          <w:highlight w:val="none"/>
        </w:rPr>
        <w:t>（</w:t>
      </w:r>
      <w:r>
        <w:rPr>
          <w:rFonts w:hint="eastAsia" w:ascii="仿宋_GB2312" w:hAnsi="仿宋_GB2312" w:eastAsia="仿宋_GB2312" w:cs="仿宋_GB2312"/>
          <w:kern w:val="0"/>
          <w:szCs w:val="21"/>
          <w:highlight w:val="none"/>
          <w:lang w:eastAsia="zh-CN"/>
        </w:rPr>
        <w:t>510211</w:t>
      </w:r>
      <w:r>
        <w:rPr>
          <w:rFonts w:ascii="仿宋_GB2312" w:hAnsi="仿宋_GB2312" w:eastAsia="仿宋_GB2312" w:cs="仿宋_GB2312"/>
          <w:kern w:val="0"/>
          <w:szCs w:val="21"/>
          <w:highlight w:val="none"/>
        </w:rPr>
        <w:t>11</w:t>
      </w:r>
      <w:r>
        <w:rPr>
          <w:rFonts w:hint="eastAsia" w:ascii="仿宋_GB2312" w:hAnsi="仿宋_GB2312" w:eastAsia="仿宋_GB2312" w:cs="仿宋_GB2312"/>
          <w:kern w:val="0"/>
          <w:szCs w:val="21"/>
          <w:highlight w:val="none"/>
        </w:rPr>
        <w:t>60）</w:t>
      </w:r>
      <w:r>
        <w:rPr>
          <w:rFonts w:ascii="仿宋" w:hAnsi="仿宋" w:eastAsia="仿宋" w:cs="仿宋"/>
          <w:kern w:val="0"/>
          <w:szCs w:val="21"/>
          <w:highlight w:val="none"/>
        </w:rPr>
        <w:t>（2学分）</w:t>
      </w:r>
    </w:p>
    <w:p>
      <w:pPr>
        <w:spacing w:line="360" w:lineRule="exact"/>
        <w:ind w:firstLine="420"/>
        <w:rPr>
          <w:rFonts w:ascii="Times New Roman" w:eastAsia="宋体" w:cs="Times New Roman"/>
          <w:highlight w:val="none"/>
        </w:rPr>
      </w:pPr>
      <w:r>
        <w:rPr>
          <w:rFonts w:ascii="Times New Roman" w:eastAsia="宋体" w:cs="Times New Roman"/>
          <w:highlight w:val="none"/>
        </w:rPr>
        <w:t>创新创业实践是指学生在校期间参加的创新创业训练计划项目、创客空间活动、专业创业孵化基地实践、创新创业讲座、专业技能竞赛、技能鉴定考证、发表论文或作品、科学研究、发明创造、学术交流、社会实践等各项创新创业实践活动，经学院认定后计创新创业实践学分。创新创业实践学分是在校生必修学分，每位学生在校学习期间应修满2个创新创业实践学分。第五学期末进行统计，成绩输入教学平台。</w:t>
      </w:r>
    </w:p>
    <w:p>
      <w:pPr>
        <w:spacing w:line="380" w:lineRule="exact"/>
        <w:ind w:firstLine="420"/>
        <w:rPr>
          <w:rFonts w:ascii="仿宋" w:hAnsi="仿宋" w:eastAsia="仿宋" w:cs="仿宋"/>
          <w:kern w:val="0"/>
          <w:szCs w:val="21"/>
          <w:highlight w:val="none"/>
        </w:rPr>
      </w:pPr>
      <w:r>
        <w:rPr>
          <w:rFonts w:ascii="仿宋" w:hAnsi="仿宋" w:eastAsia="仿宋" w:cs="仿宋"/>
          <w:kern w:val="0"/>
          <w:szCs w:val="21"/>
          <w:highlight w:val="none"/>
        </w:rPr>
        <w:t>19</w:t>
      </w:r>
      <w:r>
        <w:rPr>
          <w:rFonts w:hint="eastAsia" w:ascii="仿宋" w:hAnsi="仿宋" w:eastAsia="仿宋" w:cs="仿宋"/>
          <w:kern w:val="0"/>
          <w:szCs w:val="21"/>
          <w:highlight w:val="none"/>
        </w:rPr>
        <w:t>.劳动教育（</w:t>
      </w:r>
      <w:r>
        <w:rPr>
          <w:rFonts w:hint="eastAsia" w:ascii="仿宋" w:hAnsi="仿宋" w:eastAsia="仿宋" w:cs="仿宋"/>
          <w:kern w:val="0"/>
          <w:szCs w:val="21"/>
          <w:highlight w:val="none"/>
          <w:lang w:eastAsia="zh-CN"/>
        </w:rPr>
        <w:t>510211</w:t>
      </w:r>
      <w:r>
        <w:rPr>
          <w:rFonts w:ascii="仿宋" w:hAnsi="仿宋" w:eastAsia="仿宋" w:cs="仿宋"/>
          <w:kern w:val="0"/>
          <w:szCs w:val="21"/>
          <w:highlight w:val="none"/>
        </w:rPr>
        <w:t>11</w:t>
      </w:r>
      <w:r>
        <w:rPr>
          <w:rFonts w:hint="eastAsia" w:ascii="仿宋" w:hAnsi="仿宋" w:eastAsia="仿宋" w:cs="仿宋"/>
          <w:kern w:val="0"/>
          <w:szCs w:val="21"/>
          <w:highlight w:val="none"/>
        </w:rPr>
        <w:t>61）（2学分）</w:t>
      </w:r>
    </w:p>
    <w:p>
      <w:pPr>
        <w:spacing w:line="360" w:lineRule="exact"/>
        <w:ind w:firstLine="420"/>
        <w:rPr>
          <w:rFonts w:ascii="Times New Roman" w:hAnsi="Times New Roman" w:eastAsia="宋体" w:cs="Times New Roman"/>
          <w:highlight w:val="none"/>
        </w:rPr>
      </w:pPr>
      <w:r>
        <w:rPr>
          <w:rFonts w:hint="eastAsia" w:ascii="Times New Roman" w:hAnsi="Times New Roman" w:eastAsia="宋体" w:cs="Times New Roman"/>
          <w:highlight w:val="none"/>
        </w:rPr>
        <w:t>本课程是促进学生</w:t>
      </w:r>
      <w:bookmarkStart w:id="16" w:name="_GoBack"/>
      <w:r>
        <w:rPr>
          <w:rFonts w:hint="eastAsia" w:ascii="Times New Roman" w:hAnsi="Times New Roman" w:eastAsia="宋体" w:cs="Times New Roman"/>
          <w:highlight w:val="none"/>
        </w:rPr>
        <w:t>德智体美</w:t>
      </w:r>
      <w:bookmarkEnd w:id="16"/>
      <w:r>
        <w:rPr>
          <w:rFonts w:hint="eastAsia" w:ascii="Times New Roman" w:eastAsia="宋体" w:cs="Times New Roman"/>
          <w:highlight w:val="none"/>
          <w:lang w:val="en-US" w:eastAsia="zh-CN"/>
        </w:rPr>
        <w:t>劳</w:t>
      </w:r>
      <w:r>
        <w:rPr>
          <w:rFonts w:hint="eastAsia" w:ascii="Times New Roman" w:hAnsi="Times New Roman" w:eastAsia="宋体" w:cs="Times New Roman"/>
          <w:highlight w:val="none"/>
        </w:rPr>
        <w:t>全面发展的重要组成部分，课程分理论与实践两部分，理论部分线上教学为主共</w:t>
      </w:r>
      <w:r>
        <w:rPr>
          <w:rFonts w:ascii="Times New Roman" w:hAnsi="Times New Roman" w:eastAsia="宋体" w:cs="Times New Roman"/>
          <w:highlight w:val="none"/>
        </w:rPr>
        <w:t>16学时</w:t>
      </w:r>
      <w:r>
        <w:rPr>
          <w:rFonts w:hint="eastAsia" w:ascii="Times New Roman" w:hAnsi="Times New Roman" w:eastAsia="宋体" w:cs="Times New Roman"/>
          <w:highlight w:val="none"/>
        </w:rPr>
        <w:t>，</w:t>
      </w:r>
      <w:r>
        <w:rPr>
          <w:rFonts w:ascii="Times New Roman" w:hAnsi="Times New Roman" w:eastAsia="宋体" w:cs="Times New Roman"/>
          <w:highlight w:val="none"/>
        </w:rPr>
        <w:t>由公共课教学部负责实施，实践部分是学生在校期间参加课外劳动</w:t>
      </w:r>
      <w:r>
        <w:rPr>
          <w:rFonts w:hint="eastAsia" w:ascii="Times New Roman" w:hAnsi="Times New Roman" w:eastAsia="宋体" w:cs="Times New Roman"/>
          <w:highlight w:val="none"/>
        </w:rPr>
        <w:t>、</w:t>
      </w:r>
      <w:r>
        <w:rPr>
          <w:rFonts w:ascii="Times New Roman" w:hAnsi="Times New Roman" w:eastAsia="宋体" w:cs="Times New Roman"/>
          <w:highlight w:val="none"/>
        </w:rPr>
        <w:t>参加青年志愿者、学院包干区打扫、学院活动后勤保障工作、系</w:t>
      </w:r>
      <w:r>
        <w:rPr>
          <w:rFonts w:hint="eastAsia" w:ascii="Times New Roman" w:hAnsi="Times New Roman" w:eastAsia="宋体" w:cs="Times New Roman"/>
          <w:highlight w:val="none"/>
        </w:rPr>
        <w:t>（</w:t>
      </w:r>
      <w:r>
        <w:rPr>
          <w:rFonts w:ascii="Times New Roman" w:hAnsi="Times New Roman" w:eastAsia="宋体" w:cs="Times New Roman"/>
          <w:highlight w:val="none"/>
        </w:rPr>
        <w:t>部</w:t>
      </w:r>
      <w:r>
        <w:rPr>
          <w:rFonts w:hint="eastAsia" w:ascii="Times New Roman" w:hAnsi="Times New Roman" w:eastAsia="宋体" w:cs="Times New Roman"/>
          <w:highlight w:val="none"/>
        </w:rPr>
        <w:t>）</w:t>
      </w:r>
      <w:r>
        <w:rPr>
          <w:rFonts w:ascii="Times New Roman" w:hAnsi="Times New Roman" w:eastAsia="宋体" w:cs="Times New Roman"/>
          <w:highlight w:val="none"/>
        </w:rPr>
        <w:t>劳动安排等活动。系</w:t>
      </w:r>
      <w:r>
        <w:rPr>
          <w:rFonts w:hint="eastAsia" w:ascii="Times New Roman" w:hAnsi="Times New Roman" w:eastAsia="宋体" w:cs="Times New Roman"/>
          <w:highlight w:val="none"/>
        </w:rPr>
        <w:t>（</w:t>
      </w:r>
      <w:r>
        <w:rPr>
          <w:rFonts w:ascii="Times New Roman" w:hAnsi="Times New Roman" w:eastAsia="宋体" w:cs="Times New Roman"/>
          <w:highlight w:val="none"/>
        </w:rPr>
        <w:t>部</w:t>
      </w:r>
      <w:r>
        <w:rPr>
          <w:rFonts w:hint="eastAsia" w:ascii="Times New Roman" w:hAnsi="Times New Roman" w:eastAsia="宋体" w:cs="Times New Roman"/>
          <w:highlight w:val="none"/>
        </w:rPr>
        <w:t>）</w:t>
      </w:r>
      <w:r>
        <w:rPr>
          <w:rFonts w:ascii="Times New Roman" w:hAnsi="Times New Roman" w:eastAsia="宋体" w:cs="Times New Roman"/>
          <w:highlight w:val="none"/>
        </w:rPr>
        <w:t>要高度重视并充分发挥劳动教育实践课的育人功能，将劳动常识、劳动技能融于活动过程，开设相关课程，帮助学生树立正确的劳动观念，培养学生热爱劳动、艰苦奋斗的优良品质，增强学生学会生活、学会学习、学会工作、学会创造的实际本领。</w:t>
      </w:r>
    </w:p>
    <w:p>
      <w:pPr>
        <w:spacing w:line="360" w:lineRule="exact"/>
        <w:ind w:firstLine="420" w:firstLineChars="200"/>
        <w:rPr>
          <w:rFonts w:ascii="仿宋_GB2312" w:hAnsi="仿宋_GB2312" w:eastAsia="仿宋_GB2312" w:cs="仿宋_GB2312"/>
          <w:kern w:val="0"/>
          <w:szCs w:val="21"/>
          <w:highlight w:val="none"/>
        </w:rPr>
      </w:pPr>
      <w:r>
        <w:rPr>
          <w:rFonts w:ascii="仿宋_GB2312" w:hAnsi="仿宋_GB2312" w:eastAsia="仿宋_GB2312" w:cs="仿宋_GB2312"/>
          <w:kern w:val="0"/>
          <w:szCs w:val="21"/>
          <w:highlight w:val="none"/>
        </w:rPr>
        <w:t>20.</w:t>
      </w:r>
      <w:r>
        <w:rPr>
          <w:rFonts w:hint="eastAsia" w:ascii="仿宋_GB2312" w:hAnsi="仿宋_GB2312" w:eastAsia="仿宋_GB2312" w:cs="仿宋_GB2312"/>
          <w:kern w:val="0"/>
          <w:szCs w:val="21"/>
          <w:highlight w:val="none"/>
        </w:rPr>
        <w:t>第二课堂学分（其他）（</w:t>
      </w:r>
      <w:r>
        <w:rPr>
          <w:rFonts w:hint="eastAsia" w:ascii="仿宋_GB2312" w:hAnsi="仿宋_GB2312" w:eastAsia="仿宋_GB2312" w:cs="仿宋_GB2312"/>
          <w:kern w:val="0"/>
          <w:szCs w:val="21"/>
          <w:highlight w:val="none"/>
          <w:lang w:eastAsia="zh-CN"/>
        </w:rPr>
        <w:t>510211</w:t>
      </w:r>
      <w:r>
        <w:rPr>
          <w:rFonts w:ascii="仿宋_GB2312" w:hAnsi="仿宋_GB2312" w:eastAsia="仿宋_GB2312" w:cs="仿宋_GB2312"/>
          <w:kern w:val="0"/>
          <w:szCs w:val="21"/>
          <w:highlight w:val="none"/>
        </w:rPr>
        <w:t>11</w:t>
      </w:r>
      <w:r>
        <w:rPr>
          <w:rFonts w:hint="eastAsia" w:ascii="仿宋_GB2312" w:hAnsi="仿宋_GB2312" w:eastAsia="仿宋_GB2312" w:cs="仿宋_GB2312"/>
          <w:kern w:val="0"/>
          <w:szCs w:val="21"/>
          <w:highlight w:val="none"/>
        </w:rPr>
        <w:t>62）（6学分）</w:t>
      </w:r>
    </w:p>
    <w:p>
      <w:pPr>
        <w:spacing w:line="360" w:lineRule="exact"/>
        <w:ind w:firstLine="420"/>
        <w:rPr>
          <w:rFonts w:ascii="宋体" w:hAnsi="宋体" w:eastAsia="宋体"/>
          <w:kern w:val="0"/>
          <w:szCs w:val="21"/>
          <w:highlight w:val="none"/>
        </w:rPr>
      </w:pPr>
      <w:r>
        <w:rPr>
          <w:rFonts w:hint="eastAsia" w:ascii="宋体" w:hAnsi="宋体" w:eastAsia="宋体"/>
          <w:kern w:val="0"/>
          <w:szCs w:val="21"/>
          <w:highlight w:val="none"/>
        </w:rPr>
        <w:t>第二课堂学分是指学生在校期间参加的涉及思想成长、社会实践、志愿公益、创新创业、文体活动、工作履历、技能特长方面的活动，经学院认定后计第二课堂学分。第二课堂学分是在校生必修学分，每位学生在校学习期间应修满8个第二课堂学分。第五学期10月份进行统计，毕业放入学生档案袋。创新创业实践学分具体认定见《江西工业贸易职业技术学院创新创业学分认定及替换办法》。</w:t>
      </w:r>
    </w:p>
    <w:p>
      <w:pPr>
        <w:spacing w:line="360" w:lineRule="exact"/>
        <w:ind w:firstLine="420"/>
        <w:rPr>
          <w:rFonts w:ascii="仿宋" w:hAnsi="仿宋" w:eastAsia="仿宋" w:cs="仿宋"/>
          <w:kern w:val="0"/>
          <w:szCs w:val="21"/>
          <w:highlight w:val="none"/>
        </w:rPr>
      </w:pPr>
      <w:r>
        <w:rPr>
          <w:rFonts w:hint="eastAsia" w:ascii="仿宋" w:hAnsi="仿宋" w:eastAsia="仿宋" w:cs="仿宋"/>
          <w:kern w:val="0"/>
          <w:szCs w:val="21"/>
          <w:highlight w:val="none"/>
        </w:rPr>
        <w:t>2</w:t>
      </w:r>
      <w:r>
        <w:rPr>
          <w:rFonts w:ascii="仿宋" w:hAnsi="仿宋" w:eastAsia="仿宋" w:cs="仿宋"/>
          <w:kern w:val="0"/>
          <w:szCs w:val="21"/>
          <w:highlight w:val="none"/>
        </w:rPr>
        <w:t>1.</w:t>
      </w:r>
      <w:r>
        <w:rPr>
          <w:rFonts w:hint="eastAsia" w:ascii="仿宋" w:hAnsi="仿宋" w:eastAsia="仿宋" w:cs="仿宋"/>
          <w:kern w:val="0"/>
          <w:szCs w:val="21"/>
          <w:highlight w:val="none"/>
        </w:rPr>
        <w:t>人文素养类课程（</w:t>
      </w:r>
      <w:r>
        <w:rPr>
          <w:rFonts w:ascii="仿宋" w:hAnsi="仿宋" w:eastAsia="仿宋" w:cs="仿宋"/>
          <w:kern w:val="0"/>
          <w:szCs w:val="21"/>
          <w:highlight w:val="none"/>
        </w:rPr>
        <w:t>9999991650</w:t>
      </w:r>
      <w:r>
        <w:rPr>
          <w:rFonts w:hint="eastAsia" w:ascii="仿宋" w:hAnsi="仿宋" w:eastAsia="仿宋" w:cs="仿宋"/>
          <w:kern w:val="0"/>
          <w:szCs w:val="21"/>
          <w:highlight w:val="none"/>
        </w:rPr>
        <w:t>）（</w:t>
      </w:r>
      <w:r>
        <w:rPr>
          <w:rFonts w:ascii="仿宋" w:hAnsi="仿宋" w:eastAsia="仿宋" w:cs="仿宋"/>
          <w:kern w:val="0"/>
          <w:szCs w:val="21"/>
          <w:highlight w:val="none"/>
        </w:rPr>
        <w:t>30</w:t>
      </w:r>
      <w:r>
        <w:rPr>
          <w:rFonts w:hint="eastAsia" w:ascii="仿宋" w:hAnsi="仿宋" w:eastAsia="仿宋" w:cs="仿宋"/>
          <w:kern w:val="0"/>
          <w:szCs w:val="21"/>
          <w:highlight w:val="none"/>
        </w:rPr>
        <w:t>学时）</w:t>
      </w:r>
    </w:p>
    <w:p>
      <w:pPr>
        <w:spacing w:line="380" w:lineRule="exact"/>
        <w:ind w:firstLine="420"/>
        <w:rPr>
          <w:rFonts w:ascii="Times New Roman" w:eastAsia="宋体" w:cs="Times New Roman"/>
          <w:highlight w:val="none"/>
        </w:rPr>
      </w:pPr>
      <w:r>
        <w:rPr>
          <w:rFonts w:hint="eastAsia" w:ascii="Times New Roman" w:eastAsia="宋体" w:cs="Times New Roman"/>
          <w:highlight w:val="none"/>
        </w:rPr>
        <w:t>本课程为人文素养教育类选修课程</w:t>
      </w:r>
      <w:r>
        <w:rPr>
          <w:rFonts w:ascii="Times New Roman" w:eastAsia="宋体" w:cs="Times New Roman"/>
          <w:highlight w:val="none"/>
        </w:rPr>
        <w:t>，</w:t>
      </w:r>
      <w:r>
        <w:rPr>
          <w:rFonts w:hint="eastAsia" w:ascii="Times New Roman" w:eastAsia="宋体" w:cs="Times New Roman"/>
          <w:highlight w:val="none"/>
        </w:rPr>
        <w:t>包括限选、公选课程，课程主要任务是培养和</w:t>
      </w:r>
      <w:r>
        <w:rPr>
          <w:rFonts w:ascii="Times New Roman" w:eastAsia="宋体" w:cs="Times New Roman"/>
          <w:highlight w:val="none"/>
        </w:rPr>
        <w:t>提高</w:t>
      </w:r>
      <w:r>
        <w:rPr>
          <w:rFonts w:hint="eastAsia" w:ascii="Times New Roman" w:eastAsia="宋体" w:cs="Times New Roman"/>
          <w:highlight w:val="none"/>
        </w:rPr>
        <w:t>学生理解人文素质，课程汇集和综合了中外历史、文化、哲学、宗教、文学、艺术、伦理、心理学等多门现代人文知识，帮助学生走进人文殿堂。通过本课程的学习，使学生了解和掌握中外优秀的文化知识，并把知识内化为人文精神，培养高尚的道德情操，树立正确的人生观、价值观，为学好其他课程及学生的终身发展奠定坚实的基础。</w:t>
      </w:r>
      <w:r>
        <w:rPr>
          <w:rFonts w:ascii="Times New Roman" w:eastAsia="宋体" w:cs="Times New Roman"/>
          <w:highlight w:val="none"/>
        </w:rPr>
        <w:t>教师应综合运用讲授、启发、情景模拟、案例分析、任务驱动、问题讨论、实践观摩等方式方法和现代多媒体、互联网等教学手段组织教学。</w:t>
      </w:r>
    </w:p>
    <w:p>
      <w:pPr>
        <w:spacing w:line="360" w:lineRule="exact"/>
        <w:ind w:firstLine="420"/>
        <w:rPr>
          <w:rFonts w:ascii="仿宋" w:hAnsi="仿宋" w:eastAsia="仿宋" w:cs="仿宋"/>
          <w:kern w:val="0"/>
          <w:szCs w:val="21"/>
          <w:highlight w:val="none"/>
        </w:rPr>
      </w:pPr>
      <w:r>
        <w:rPr>
          <w:rFonts w:hint="eastAsia" w:ascii="仿宋" w:hAnsi="仿宋" w:eastAsia="仿宋" w:cs="仿宋"/>
          <w:kern w:val="0"/>
          <w:szCs w:val="21"/>
          <w:highlight w:val="none"/>
        </w:rPr>
        <w:t>2</w:t>
      </w:r>
      <w:r>
        <w:rPr>
          <w:rFonts w:ascii="仿宋" w:hAnsi="仿宋" w:eastAsia="仿宋" w:cs="仿宋"/>
          <w:kern w:val="0"/>
          <w:szCs w:val="21"/>
          <w:highlight w:val="none"/>
        </w:rPr>
        <w:t>2.</w:t>
      </w:r>
      <w:r>
        <w:rPr>
          <w:rFonts w:hint="eastAsia" w:ascii="仿宋" w:hAnsi="仿宋" w:eastAsia="仿宋" w:cs="仿宋"/>
          <w:kern w:val="0"/>
          <w:szCs w:val="21"/>
          <w:highlight w:val="none"/>
        </w:rPr>
        <w:t>创新创业管理课程（</w:t>
      </w:r>
      <w:r>
        <w:rPr>
          <w:rFonts w:ascii="仿宋" w:hAnsi="仿宋" w:eastAsia="仿宋" w:cs="仿宋"/>
          <w:kern w:val="0"/>
          <w:szCs w:val="21"/>
          <w:highlight w:val="none"/>
        </w:rPr>
        <w:t>9999991651</w:t>
      </w:r>
      <w:r>
        <w:rPr>
          <w:rFonts w:hint="eastAsia" w:ascii="仿宋" w:hAnsi="仿宋" w:eastAsia="仿宋" w:cs="仿宋"/>
          <w:kern w:val="0"/>
          <w:szCs w:val="21"/>
          <w:highlight w:val="none"/>
        </w:rPr>
        <w:t>）（</w:t>
      </w:r>
      <w:r>
        <w:rPr>
          <w:rFonts w:ascii="仿宋" w:hAnsi="仿宋" w:eastAsia="仿宋" w:cs="仿宋"/>
          <w:kern w:val="0"/>
          <w:szCs w:val="21"/>
          <w:highlight w:val="none"/>
        </w:rPr>
        <w:t>30</w:t>
      </w:r>
      <w:r>
        <w:rPr>
          <w:rFonts w:hint="eastAsia" w:ascii="仿宋" w:hAnsi="仿宋" w:eastAsia="仿宋" w:cs="仿宋"/>
          <w:kern w:val="0"/>
          <w:szCs w:val="21"/>
          <w:highlight w:val="none"/>
        </w:rPr>
        <w:t>学时</w:t>
      </w:r>
      <w:r>
        <w:rPr>
          <w:rFonts w:ascii="仿宋" w:hAnsi="仿宋" w:eastAsia="仿宋" w:cs="仿宋"/>
          <w:kern w:val="0"/>
          <w:szCs w:val="21"/>
          <w:highlight w:val="none"/>
        </w:rPr>
        <w:t>）</w:t>
      </w:r>
    </w:p>
    <w:p>
      <w:pPr>
        <w:spacing w:line="380" w:lineRule="exact"/>
        <w:ind w:firstLine="420"/>
        <w:rPr>
          <w:rFonts w:ascii="Times New Roman" w:eastAsia="宋体" w:cs="Times New Roman"/>
          <w:highlight w:val="none"/>
        </w:rPr>
      </w:pPr>
      <w:r>
        <w:rPr>
          <w:rFonts w:hint="eastAsia" w:ascii="Times New Roman" w:eastAsia="宋体" w:cs="Times New Roman"/>
          <w:highlight w:val="none"/>
        </w:rPr>
        <w:t>本课程为创新创业教育类选修课程，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创业基本流程及要求，积极培养自身的创新精神与创业意识，努力提升创新创业的方法技能，为自己未来职业发展中的创新创业实践奠定良好基础。教师应综合运用讲授、启发、任务驱动、问题讨论、综合练习、测试、案例分析等方式方法和现代多媒体、互联网等教学手段组织教学。</w:t>
      </w:r>
    </w:p>
    <w:p>
      <w:pPr>
        <w:spacing w:line="360" w:lineRule="exact"/>
        <w:ind w:firstLine="420"/>
        <w:rPr>
          <w:rFonts w:ascii="仿宋" w:hAnsi="仿宋" w:eastAsia="仿宋" w:cs="仿宋"/>
          <w:kern w:val="0"/>
          <w:szCs w:val="21"/>
          <w:highlight w:val="none"/>
        </w:rPr>
      </w:pPr>
      <w:r>
        <w:rPr>
          <w:rFonts w:hint="eastAsia" w:ascii="仿宋" w:hAnsi="仿宋" w:eastAsia="仿宋" w:cs="仿宋"/>
          <w:kern w:val="0"/>
          <w:szCs w:val="21"/>
          <w:highlight w:val="none"/>
        </w:rPr>
        <w:t>2</w:t>
      </w:r>
      <w:r>
        <w:rPr>
          <w:rFonts w:ascii="仿宋" w:hAnsi="仿宋" w:eastAsia="仿宋" w:cs="仿宋"/>
          <w:kern w:val="0"/>
          <w:szCs w:val="21"/>
          <w:highlight w:val="none"/>
        </w:rPr>
        <w:t>3.</w:t>
      </w:r>
      <w:r>
        <w:rPr>
          <w:rFonts w:hint="eastAsia" w:ascii="仿宋" w:hAnsi="仿宋" w:eastAsia="仿宋" w:cs="仿宋"/>
          <w:kern w:val="0"/>
          <w:szCs w:val="21"/>
          <w:highlight w:val="none"/>
        </w:rPr>
        <w:t>科学素养类课程（</w:t>
      </w:r>
      <w:r>
        <w:rPr>
          <w:rFonts w:ascii="仿宋" w:hAnsi="仿宋" w:eastAsia="仿宋" w:cs="仿宋"/>
          <w:kern w:val="0"/>
          <w:szCs w:val="21"/>
          <w:highlight w:val="none"/>
        </w:rPr>
        <w:t>9999991652）（30学</w:t>
      </w:r>
      <w:r>
        <w:rPr>
          <w:rFonts w:hint="eastAsia" w:ascii="仿宋" w:hAnsi="仿宋" w:eastAsia="仿宋" w:cs="仿宋"/>
          <w:kern w:val="0"/>
          <w:szCs w:val="21"/>
          <w:highlight w:val="none"/>
        </w:rPr>
        <w:t>时</w:t>
      </w:r>
      <w:r>
        <w:rPr>
          <w:rFonts w:ascii="仿宋" w:hAnsi="仿宋" w:eastAsia="仿宋" w:cs="仿宋"/>
          <w:kern w:val="0"/>
          <w:szCs w:val="21"/>
          <w:highlight w:val="none"/>
        </w:rPr>
        <w:t>）</w:t>
      </w:r>
      <w:r>
        <w:rPr>
          <w:rFonts w:hint="eastAsia" w:ascii="仿宋" w:hAnsi="仿宋" w:eastAsia="仿宋" w:cs="仿宋"/>
          <w:kern w:val="0"/>
          <w:szCs w:val="21"/>
          <w:highlight w:val="none"/>
        </w:rPr>
        <w:t xml:space="preserve"> </w:t>
      </w:r>
    </w:p>
    <w:p>
      <w:pPr>
        <w:spacing w:line="380" w:lineRule="exact"/>
        <w:ind w:firstLine="420"/>
        <w:rPr>
          <w:rFonts w:ascii="Times New Roman" w:eastAsia="宋体" w:cs="Times New Roman"/>
          <w:highlight w:val="none"/>
        </w:rPr>
      </w:pPr>
      <w:r>
        <w:rPr>
          <w:rFonts w:hint="eastAsia" w:ascii="Times New Roman" w:eastAsia="宋体" w:cs="Times New Roman"/>
          <w:highlight w:val="none"/>
        </w:rPr>
        <w:t>本课程为科学素养教育课程群包括限选、公选课程。通过本课程学习</w:t>
      </w:r>
      <w:r>
        <w:rPr>
          <w:rFonts w:ascii="Times New Roman" w:eastAsia="宋体" w:cs="Times New Roman"/>
          <w:highlight w:val="none"/>
        </w:rPr>
        <w:t>，</w:t>
      </w:r>
      <w:r>
        <w:rPr>
          <w:rFonts w:hint="eastAsia" w:ascii="Times New Roman" w:eastAsia="宋体" w:cs="Times New Roman"/>
          <w:highlight w:val="none"/>
        </w:rPr>
        <w:t>使学生系统地了解科学素养基本知识，获得树立问题观念、激发问题意识、培养科学素养等方面的教育，将科学素质教育、科学素养培育与研究性学习、研究性教学有机结合，以问题为切入点，以提高发现问题、分析问题和解决问题的能力为目标，提高大学生走向社会、面向问题时的竞争力；使</w:t>
      </w:r>
      <w:r>
        <w:rPr>
          <w:rFonts w:ascii="Times New Roman" w:eastAsia="宋体" w:cs="Times New Roman"/>
          <w:highlight w:val="none"/>
        </w:rPr>
        <w:t>学生</w:t>
      </w:r>
      <w:r>
        <w:rPr>
          <w:rFonts w:hint="eastAsia" w:ascii="Times New Roman" w:eastAsia="宋体" w:cs="Times New Roman"/>
          <w:highlight w:val="none"/>
        </w:rPr>
        <w:t>了解</w:t>
      </w:r>
      <w:r>
        <w:rPr>
          <w:rFonts w:ascii="Times New Roman" w:eastAsia="宋体" w:cs="Times New Roman"/>
          <w:highlight w:val="none"/>
        </w:rPr>
        <w:t>和掌握</w:t>
      </w:r>
      <w:r>
        <w:rPr>
          <w:rFonts w:hint="eastAsia" w:ascii="Times New Roman" w:eastAsia="宋体" w:cs="Times New Roman"/>
          <w:highlight w:val="none"/>
        </w:rPr>
        <w:t>科学知识，培养学生</w:t>
      </w:r>
      <w:r>
        <w:rPr>
          <w:rFonts w:ascii="Times New Roman" w:eastAsia="宋体" w:cs="Times New Roman"/>
          <w:highlight w:val="none"/>
        </w:rPr>
        <w:t>的</w:t>
      </w:r>
      <w:r>
        <w:rPr>
          <w:rFonts w:hint="eastAsia" w:ascii="Times New Roman" w:eastAsia="宋体" w:cs="Times New Roman"/>
          <w:highlight w:val="none"/>
        </w:rPr>
        <w:t>科学精神、科学意识和</w:t>
      </w:r>
      <w:r>
        <w:rPr>
          <w:rFonts w:ascii="Times New Roman" w:eastAsia="宋体" w:cs="Times New Roman"/>
          <w:highlight w:val="none"/>
        </w:rPr>
        <w:t>用</w:t>
      </w:r>
      <w:r>
        <w:rPr>
          <w:rFonts w:hint="eastAsia" w:ascii="Times New Roman" w:eastAsia="宋体" w:cs="Times New Roman"/>
          <w:highlight w:val="none"/>
        </w:rPr>
        <w:t>科学方法解决</w:t>
      </w:r>
      <w:r>
        <w:rPr>
          <w:rFonts w:ascii="Times New Roman" w:eastAsia="宋体" w:cs="Times New Roman"/>
          <w:highlight w:val="none"/>
        </w:rPr>
        <w:t>问题</w:t>
      </w:r>
      <w:r>
        <w:rPr>
          <w:rFonts w:hint="eastAsia" w:ascii="Times New Roman" w:eastAsia="宋体" w:cs="Times New Roman"/>
          <w:highlight w:val="none"/>
        </w:rPr>
        <w:t>的</w:t>
      </w:r>
      <w:r>
        <w:rPr>
          <w:rFonts w:ascii="Times New Roman" w:eastAsia="宋体" w:cs="Times New Roman"/>
          <w:highlight w:val="none"/>
        </w:rPr>
        <w:t>能力。教师应综合运用讲授、启发、情景模拟、案例分析、任务驱动、问题讨论、实践观摩等方式方法和现代多媒体、互联网等教学手段组织教学。</w:t>
      </w:r>
    </w:p>
    <w:p>
      <w:pPr>
        <w:spacing w:line="360" w:lineRule="exact"/>
        <w:ind w:firstLine="420"/>
        <w:rPr>
          <w:rFonts w:ascii="Times New Roman" w:eastAsia="宋体" w:cs="Times New Roman"/>
          <w:highlight w:val="none"/>
        </w:rPr>
      </w:pPr>
      <w:r>
        <w:rPr>
          <w:rFonts w:ascii="仿宋" w:hAnsi="仿宋" w:eastAsia="仿宋" w:cs="仿宋"/>
          <w:kern w:val="0"/>
          <w:szCs w:val="21"/>
          <w:highlight w:val="none"/>
        </w:rPr>
        <w:t>24</w:t>
      </w:r>
      <w:r>
        <w:rPr>
          <w:rFonts w:hint="eastAsia" w:ascii="仿宋" w:hAnsi="仿宋" w:eastAsia="仿宋" w:cs="仿宋"/>
          <w:kern w:val="0"/>
          <w:szCs w:val="21"/>
          <w:highlight w:val="none"/>
        </w:rPr>
        <w:t>.</w:t>
      </w:r>
      <w:r>
        <w:rPr>
          <w:rFonts w:hint="eastAsia" w:ascii="仿宋_GB2312" w:eastAsia="仿宋_GB2312" w:cs="Times New Roman"/>
          <w:szCs w:val="21"/>
          <w:highlight w:val="none"/>
        </w:rPr>
        <w:t>美育教育（</w:t>
      </w:r>
      <w:r>
        <w:rPr>
          <w:rFonts w:ascii="仿宋_GB2312" w:eastAsia="仿宋_GB2312" w:cs="Times New Roman"/>
          <w:szCs w:val="21"/>
          <w:highlight w:val="none"/>
        </w:rPr>
        <w:t>9999991660</w:t>
      </w:r>
      <w:r>
        <w:rPr>
          <w:rFonts w:hint="eastAsia" w:ascii="仿宋_GB2312" w:eastAsia="仿宋_GB2312" w:cs="Times New Roman"/>
          <w:szCs w:val="21"/>
          <w:highlight w:val="none"/>
        </w:rPr>
        <w:t>）（72学时）</w:t>
      </w:r>
    </w:p>
    <w:p>
      <w:pPr>
        <w:spacing w:line="380" w:lineRule="exact"/>
        <w:ind w:firstLine="420"/>
        <w:rPr>
          <w:rFonts w:ascii="Times New Roman" w:eastAsia="宋体" w:cs="Times New Roman"/>
          <w:highlight w:val="none"/>
        </w:rPr>
      </w:pPr>
      <w:bookmarkStart w:id="5" w:name="_Hlk74206913"/>
      <w:r>
        <w:rPr>
          <w:rFonts w:hint="eastAsia" w:ascii="Times New Roman" w:eastAsia="宋体" w:cs="Times New Roman"/>
          <w:highlight w:val="none"/>
        </w:rPr>
        <w:t>本课程为美育教育类选修课程，包括限选、公选、学院活动等，课程主要任务是培养学生的审美意识、审美观点，提高学生的审美能力和创造美的能力</w:t>
      </w:r>
      <w:r>
        <w:rPr>
          <w:rFonts w:ascii="Times New Roman" w:eastAsia="宋体" w:cs="Times New Roman"/>
          <w:highlight w:val="none"/>
        </w:rPr>
        <w:t>，</w:t>
      </w:r>
      <w:r>
        <w:rPr>
          <w:rFonts w:hint="eastAsia" w:ascii="Times New Roman" w:eastAsia="宋体" w:cs="Times New Roman"/>
          <w:highlight w:val="none"/>
        </w:rPr>
        <w:t>从而塑造审美的人生境界，培养和谐完美的人格。美育的最终目的，就在于使学生的情感得到陶冶，思想得到净化，品格得到完善，从而使身心得到和谐发展，精神境界得到升华，自身得到美化</w:t>
      </w:r>
      <w:r>
        <w:rPr>
          <w:rFonts w:hint="eastAsia" w:ascii="宋体" w:hAnsi="宋体" w:eastAsia="宋体" w:cs="宋体"/>
          <w:kern w:val="0"/>
          <w:szCs w:val="21"/>
          <w:highlight w:val="none"/>
        </w:rPr>
        <w:t>，教师应综合运用讲授、启发、情景模拟、案例分析、任务驱动、问题讨论、实践观摩等方式方法和现代多媒体、互联网等教学手段组织教学。</w:t>
      </w:r>
      <w:bookmarkEnd w:id="5"/>
    </w:p>
    <w:p>
      <w:pPr>
        <w:spacing w:line="360" w:lineRule="exact"/>
        <w:ind w:firstLine="420" w:firstLineChars="200"/>
        <w:rPr>
          <w:rFonts w:ascii="宋体" w:hAnsi="宋体" w:eastAsia="宋体"/>
          <w:highlight w:val="none"/>
        </w:rPr>
      </w:pPr>
      <w:r>
        <w:rPr>
          <w:rFonts w:hint="eastAsia" w:ascii="宋体" w:hAnsi="宋体" w:eastAsia="宋体"/>
          <w:highlight w:val="none"/>
        </w:rPr>
        <w:t>（二）专业技术课程说明</w:t>
      </w:r>
    </w:p>
    <w:p>
      <w:pPr>
        <w:spacing w:line="360" w:lineRule="exact"/>
        <w:ind w:firstLine="420" w:firstLineChars="200"/>
        <w:rPr>
          <w:rFonts w:ascii="宋体" w:hAnsi="宋体" w:eastAsia="宋体"/>
          <w:highlight w:val="none"/>
        </w:rPr>
      </w:pPr>
      <w:r>
        <w:rPr>
          <w:rFonts w:hint="eastAsia" w:ascii="宋体" w:hAnsi="宋体" w:eastAsia="宋体"/>
          <w:highlight w:val="none"/>
        </w:rPr>
        <w:t>专业群内专业：</w:t>
      </w:r>
    </w:p>
    <w:p>
      <w:pPr>
        <w:spacing w:line="360" w:lineRule="exact"/>
        <w:ind w:firstLine="420" w:firstLineChars="200"/>
        <w:rPr>
          <w:rFonts w:ascii="宋体" w:hAnsi="宋体" w:eastAsia="宋体"/>
          <w:highlight w:val="none"/>
        </w:rPr>
      </w:pPr>
      <w:r>
        <w:rPr>
          <w:rFonts w:hint="eastAsia" w:ascii="宋体" w:hAnsi="宋体" w:eastAsia="宋体"/>
          <w:highlight w:val="none"/>
        </w:rPr>
        <w:t>1.平台共享课程</w:t>
      </w:r>
    </w:p>
    <w:p>
      <w:pPr>
        <w:spacing w:line="360" w:lineRule="exact"/>
        <w:ind w:firstLine="420" w:firstLineChars="200"/>
        <w:rPr>
          <w:rFonts w:hint="eastAsia" w:ascii="仿宋" w:eastAsia="仿宋" w:cs="Times New Roman"/>
          <w:color w:val="000000"/>
          <w:highlight w:val="none"/>
        </w:rPr>
      </w:pPr>
      <w:r>
        <w:rPr>
          <w:rFonts w:hint="eastAsia" w:ascii="仿宋" w:eastAsia="仿宋" w:cs="Times New Roman"/>
          <w:color w:val="000000"/>
          <w:highlight w:val="none"/>
        </w:rPr>
        <w:t>（1）物联网入门（51</w:t>
      </w:r>
      <w:r>
        <w:rPr>
          <w:rFonts w:hint="eastAsia" w:ascii="仿宋" w:eastAsia="仿宋" w:cs="Times New Roman"/>
          <w:color w:val="000000"/>
          <w:highlight w:val="none"/>
          <w:lang w:val="en-US" w:eastAsia="zh-CN"/>
        </w:rPr>
        <w:t>02111212</w:t>
      </w:r>
      <w:r>
        <w:rPr>
          <w:rFonts w:hint="eastAsia" w:ascii="仿宋" w:eastAsia="仿宋" w:cs="Times New Roman"/>
          <w:color w:val="000000"/>
          <w:highlight w:val="none"/>
        </w:rPr>
        <w:t>） （60学时）</w:t>
      </w:r>
    </w:p>
    <w:p>
      <w:pPr>
        <w:spacing w:line="360" w:lineRule="exact"/>
        <w:ind w:firstLine="420" w:firstLineChars="200"/>
        <w:rPr>
          <w:rFonts w:ascii="宋体" w:eastAsia="宋体" w:cs="宋体"/>
          <w:color w:val="000000"/>
          <w:kern w:val="0"/>
          <w:szCs w:val="21"/>
          <w:highlight w:val="none"/>
        </w:rPr>
      </w:pPr>
      <w:r>
        <w:rPr>
          <w:rFonts w:hint="eastAsia" w:ascii="宋体" w:eastAsia="宋体" w:cs="宋体"/>
          <w:color w:val="000000"/>
          <w:kern w:val="0"/>
          <w:szCs w:val="21"/>
          <w:highlight w:val="none"/>
        </w:rPr>
        <w:t>本课程为本专业的一门专业基础课，主要学习物联网的相关知识、应用技术、认知物联网行业、企业现状及发展前景，以及物联网在智慧社区、智能楼宇、智能家居等领域中的应用和物联网工程企业文化和规章制度、物联网工程业务基本流程及岗位职责、物联网工程标准与规范，物联网工程企业对员工职业素养、职业道德的要求、职业规划的要求。</w:t>
      </w:r>
    </w:p>
    <w:p>
      <w:pPr>
        <w:spacing w:line="360" w:lineRule="exact"/>
        <w:ind w:firstLine="420" w:firstLineChars="200"/>
        <w:rPr>
          <w:rFonts w:ascii="仿宋_GB2312" w:eastAsia="仿宋_GB2312" w:cs="Times New Roman"/>
          <w:color w:val="000000"/>
          <w:szCs w:val="21"/>
          <w:highlight w:val="none"/>
        </w:rPr>
      </w:pPr>
      <w:r>
        <w:rPr>
          <w:rFonts w:hint="eastAsia" w:ascii="仿宋_GB2312" w:eastAsia="仿宋_GB2312" w:cs="Times New Roman"/>
          <w:color w:val="000000"/>
          <w:szCs w:val="21"/>
          <w:highlight w:val="none"/>
        </w:rPr>
        <w:t>（2）物联网组网技术（5102</w:t>
      </w:r>
      <w:r>
        <w:rPr>
          <w:rFonts w:hint="eastAsia" w:ascii="仿宋_GB2312" w:eastAsia="仿宋_GB2312" w:cs="Times New Roman"/>
          <w:color w:val="000000"/>
          <w:szCs w:val="21"/>
          <w:highlight w:val="none"/>
          <w:lang w:val="en-US" w:eastAsia="zh-CN"/>
        </w:rPr>
        <w:t>111213</w:t>
      </w:r>
      <w:r>
        <w:rPr>
          <w:rFonts w:hint="eastAsia" w:ascii="仿宋_GB2312" w:eastAsia="仿宋_GB2312" w:cs="Times New Roman"/>
          <w:color w:val="000000"/>
          <w:szCs w:val="21"/>
          <w:highlight w:val="none"/>
        </w:rPr>
        <w:t>） （68学时）</w:t>
      </w:r>
    </w:p>
    <w:p>
      <w:pPr>
        <w:spacing w:line="360" w:lineRule="exact"/>
        <w:ind w:firstLine="420" w:firstLineChars="200"/>
        <w:rPr>
          <w:rFonts w:ascii="宋体" w:eastAsia="宋体" w:cs="宋体"/>
          <w:color w:val="000000"/>
          <w:kern w:val="0"/>
          <w:szCs w:val="21"/>
          <w:highlight w:val="none"/>
        </w:rPr>
      </w:pPr>
      <w:r>
        <w:rPr>
          <w:rFonts w:hint="eastAsia" w:ascii="宋体" w:eastAsia="宋体" w:cs="宋体"/>
          <w:color w:val="000000"/>
          <w:kern w:val="0"/>
          <w:szCs w:val="21"/>
          <w:highlight w:val="none"/>
        </w:rPr>
        <w:t>本课程主要学习物联网组网技术网络的功能、分类及网络拓扑结构，二层、三层交换机的概念，IP地址划分，操作系统安装与应用、无线组网等。通过课程学习，学生熟悉物联网工程各种组网技术，网络类型及网络拓扑结构；掌握网络基础知识、网络协议、IP划分、操作系统安装及管理系统软件安装等；具有利用网络常用命令进行网络查询与测试的能力。通过学习，在施工员的指导下培养学生掌握物联网工程系统组建，管理系统安装、测试及维护职业素养，培养学生在物联网组网的工匠精神。校企师傅应充分挖掘该课程领域知识点融入社会主义核心价值观、将思想政治教育融入人才培养全过程，塑造具有严谨、精益求精的工匠品质。本课程运用案例教学、课堂讨论、任务驱动、课后练习及现代多媒体等教学手段组织教学。</w:t>
      </w:r>
    </w:p>
    <w:p>
      <w:pPr>
        <w:spacing w:line="360" w:lineRule="exact"/>
        <w:ind w:firstLine="420" w:firstLineChars="200"/>
        <w:rPr>
          <w:rFonts w:ascii="仿宋" w:eastAsia="仿宋" w:cs="Times New Roman"/>
          <w:color w:val="000000"/>
          <w:highlight w:val="none"/>
        </w:rPr>
      </w:pPr>
      <w:r>
        <w:rPr>
          <w:rFonts w:hint="eastAsia" w:ascii="仿宋" w:eastAsia="仿宋" w:cs="Times New Roman"/>
          <w:color w:val="000000"/>
          <w:highlight w:val="none"/>
        </w:rPr>
        <w:t>（3）数据库技术（5102</w:t>
      </w:r>
      <w:r>
        <w:rPr>
          <w:rFonts w:hint="eastAsia" w:ascii="仿宋" w:eastAsia="仿宋" w:cs="Times New Roman"/>
          <w:color w:val="000000"/>
          <w:highlight w:val="none"/>
          <w:lang w:val="en-US" w:eastAsia="zh-CN"/>
        </w:rPr>
        <w:t>111214</w:t>
      </w:r>
      <w:r>
        <w:rPr>
          <w:rFonts w:hint="eastAsia" w:ascii="仿宋" w:eastAsia="仿宋" w:cs="Times New Roman"/>
          <w:color w:val="000000"/>
          <w:highlight w:val="none"/>
        </w:rPr>
        <w:t>） （68学时）</w:t>
      </w:r>
    </w:p>
    <w:p>
      <w:pPr>
        <w:spacing w:line="360" w:lineRule="exact"/>
        <w:ind w:firstLine="420" w:firstLineChars="200"/>
        <w:rPr>
          <w:rFonts w:ascii="宋体" w:hAnsi="宋体" w:eastAsia="宋体" w:cs="宋体"/>
          <w:color w:val="000000"/>
          <w:highlight w:val="none"/>
        </w:rPr>
      </w:pPr>
      <w:r>
        <w:rPr>
          <w:rFonts w:hint="eastAsia" w:ascii="宋体" w:hAnsi="宋体" w:eastAsia="宋体" w:cs="宋体"/>
          <w:color w:val="000000"/>
          <w:highlight w:val="none"/>
        </w:rPr>
        <w:t>本课程为本专业的一门专业基础课，主要讲授数据库的基本原理和数据库系统的安装配置、数据库和数据表的创建与管理、使用约束实现数据完整性、SQL代码查询、规划、创建和优化索引、SQL语言程序设计、视图、存储过程和函数、数据库的备份和恢复等内容，并通过以上技能的学习培养学生的工匠精神。通过课程的学习，使学生具有收集、处理需求分析的职业能力，具备物联网售后数据库操作，物联网系统平台分析、运行保障与日常维护的能力；培养学生物联网系统平台维护的职业素养。</w:t>
      </w:r>
    </w:p>
    <w:p>
      <w:pPr>
        <w:spacing w:line="360" w:lineRule="exact"/>
        <w:ind w:firstLine="420" w:firstLineChars="200"/>
        <w:rPr>
          <w:rFonts w:ascii="宋体" w:hAnsi="宋体" w:eastAsia="宋体" w:cs="宋体"/>
          <w:color w:val="000000"/>
          <w:highlight w:val="none"/>
        </w:rPr>
      </w:pPr>
      <w:r>
        <w:rPr>
          <w:rFonts w:hint="eastAsia" w:ascii="宋体" w:hAnsi="宋体" w:eastAsia="宋体" w:cs="宋体"/>
          <w:color w:val="000000"/>
          <w:highlight w:val="none"/>
        </w:rPr>
        <w:t>教师授课过程要注重创设教育情境，充分挖掘该课程领域知识点融入社会主义核心价值观、将思想政治教育融入人才培养全过程，塑造具有严谨、精益求精的工匠品质。教师应充分挖掘该课程领域知识点融入社会主义核心价值观、将思想政治教育融入人才培养全过程，塑造具有严谨、精益求精的工匠品质。采取理论实践相结合教学模式，充分利用投影、网络及现代多媒体等教学手段组织教学。</w:t>
      </w:r>
    </w:p>
    <w:p>
      <w:pPr>
        <w:spacing w:line="360" w:lineRule="exact"/>
        <w:ind w:firstLine="420" w:firstLineChars="200"/>
        <w:rPr>
          <w:rFonts w:hint="eastAsia" w:ascii="仿宋" w:eastAsia="仿宋" w:cs="Times New Roman"/>
          <w:color w:val="000000"/>
          <w:highlight w:val="none"/>
        </w:rPr>
      </w:pPr>
      <w:r>
        <w:rPr>
          <w:rFonts w:hint="eastAsia" w:ascii="仿宋" w:eastAsia="仿宋" w:cs="Times New Roman"/>
          <w:color w:val="000000"/>
          <w:highlight w:val="none"/>
        </w:rPr>
        <w:t>（4）C语言程序设计（N510</w:t>
      </w:r>
      <w:r>
        <w:rPr>
          <w:rFonts w:hint="eastAsia" w:ascii="仿宋" w:eastAsia="仿宋" w:cs="Times New Roman"/>
          <w:color w:val="000000"/>
          <w:highlight w:val="none"/>
          <w:lang w:val="en-US" w:eastAsia="zh-CN"/>
        </w:rPr>
        <w:t>2111233</w:t>
      </w:r>
      <w:r>
        <w:rPr>
          <w:rFonts w:hint="eastAsia" w:ascii="仿宋" w:eastAsia="仿宋" w:cs="Times New Roman"/>
          <w:color w:val="000000"/>
          <w:highlight w:val="none"/>
        </w:rPr>
        <w:t>） （64学时）</w:t>
      </w:r>
    </w:p>
    <w:p>
      <w:pPr>
        <w:spacing w:line="360" w:lineRule="exact"/>
        <w:ind w:firstLine="420" w:firstLineChars="200"/>
        <w:rPr>
          <w:rFonts w:ascii="宋体" w:hAnsi="宋体" w:eastAsia="宋体" w:cs="宋体"/>
          <w:color w:val="000000"/>
          <w:highlight w:val="none"/>
        </w:rPr>
      </w:pPr>
      <w:r>
        <w:rPr>
          <w:rFonts w:hint="eastAsia" w:ascii="宋体" w:hAnsi="宋体" w:eastAsia="宋体" w:cs="宋体"/>
          <w:color w:val="000000"/>
          <w:highlight w:val="none"/>
        </w:rPr>
        <w:t>本课程在计算机教育方面为数不多的与国外保持内容同步的课程之一，在物联网应用技术专业的培养计划中占有重要地位，为后续学习单片机及传感器应用开发打下基础。通过本课程的学习，使学生掌握C语言基本语法、程序设计的基本思想和结构化程序设计的一般方法，以C为语言基础，培养学生严谨的程序设计思想、灵活的思维方式及较强的动手能力，使学生逐渐掌握复杂软件的设计和开发手段，为后续专业课程的学习打下理论和实践基础。整个教学过程分初级、中级和高级阶段，讲授三种基本结构、数组、指针、函数、结构体和文件等，利用贯穿实例，注重训练学生的实践能力，强调个性化教育，因材施教、分层教学，在课堂授课和实践中均提供自学和拓展学习内容，以利于最终使学生在实践中能够运用C语言工具解决物联网软硬件遇到的实际问题。校企师傅应充分挖掘该课程领域知识点融入社会主义核心价值观、将思想政治教育融入人才培养全过程，塑造具有严谨、精益求精的工匠品质。采取讲授、问题讨论、案例分析等教学方法、结合企业实际组织教学。</w:t>
      </w:r>
    </w:p>
    <w:p>
      <w:pPr>
        <w:spacing w:line="360" w:lineRule="exact"/>
        <w:ind w:firstLine="420" w:firstLineChars="200"/>
        <w:rPr>
          <w:rFonts w:ascii="仿宋" w:hAnsi="楷体" w:eastAsia="仿宋" w:cs="Times New Roman"/>
          <w:color w:val="000000"/>
          <w:highlight w:val="none"/>
        </w:rPr>
      </w:pPr>
      <w:r>
        <w:rPr>
          <w:rFonts w:hint="eastAsia" w:ascii="仿宋" w:hAnsi="楷体" w:eastAsia="仿宋" w:cs="Times New Roman"/>
          <w:color w:val="000000"/>
          <w:highlight w:val="none"/>
        </w:rPr>
        <w:t>（5）Linux操作系统（5102</w:t>
      </w:r>
      <w:r>
        <w:rPr>
          <w:rFonts w:hint="eastAsia" w:ascii="仿宋" w:hAnsi="楷体" w:eastAsia="仿宋" w:cs="Times New Roman"/>
          <w:color w:val="000000"/>
          <w:highlight w:val="none"/>
          <w:lang w:val="en-US" w:eastAsia="zh-CN"/>
        </w:rPr>
        <w:t>111232</w:t>
      </w:r>
      <w:r>
        <w:rPr>
          <w:rFonts w:hint="eastAsia" w:ascii="仿宋" w:hAnsi="楷体" w:eastAsia="仿宋" w:cs="Times New Roman"/>
          <w:color w:val="000000"/>
          <w:highlight w:val="none"/>
        </w:rPr>
        <w:t>）（96学时）</w:t>
      </w:r>
    </w:p>
    <w:p>
      <w:pPr>
        <w:spacing w:line="360" w:lineRule="exact"/>
        <w:ind w:firstLine="420" w:firstLineChars="200"/>
        <w:rPr>
          <w:rFonts w:ascii="宋体" w:hAnsi="宋体" w:eastAsia="宋体"/>
          <w:highlight w:val="none"/>
        </w:rPr>
      </w:pPr>
      <w:r>
        <w:rPr>
          <w:rFonts w:hint="eastAsia" w:ascii="宋体" w:hAnsi="宋体" w:eastAsia="宋体" w:cs="宋体"/>
          <w:color w:val="000000"/>
          <w:szCs w:val="21"/>
          <w:highlight w:val="none"/>
        </w:rPr>
        <w:t>本课程主要讲授计算机操作系统的基本概念、基本理论； Linux操作系统的基本命令，和各种网络服务器的配置和维护。学生通过该课程的学习，具备进一步掌握Linux操作系统的能力。掌握Linux的文件、目录与磁盘格式、掌握vi编辑器，了解Bash，了解shell脚本编程。掌握Linux的用户管理和文件系统管理、掌握Linux的设备管理；掌握Linux的网络管理：NFS、DNS、WWW服务器（Apache）、FTP服务器、DHCP等服务器配置，了解防火墙功能和应用。</w:t>
      </w:r>
      <w:r>
        <w:rPr>
          <w:rFonts w:hint="eastAsia" w:ascii="宋体" w:eastAsia="宋体" w:cs="宋体"/>
          <w:color w:val="000000"/>
          <w:kern w:val="0"/>
          <w:szCs w:val="21"/>
          <w:highlight w:val="none"/>
        </w:rPr>
        <w:t>教师应充分挖掘该课程领域知识点融入社会主义核心价值观、将思想政治教育融入人才培养全过程，塑造具有严谨、精益求精的工匠品质。</w:t>
      </w:r>
      <w:r>
        <w:rPr>
          <w:rFonts w:hint="eastAsia" w:ascii="宋体" w:hAnsi="宋体" w:eastAsia="宋体" w:cs="宋体"/>
          <w:color w:val="000000"/>
          <w:szCs w:val="21"/>
          <w:highlight w:val="none"/>
        </w:rPr>
        <w:t>通过本课程的学习，培养学生对Linux嵌入式开发、Linux服务器管理等工作的职业能力和职业素养。本课程运用案例教学、课后练习及现代多媒体等教学手段组织教学。</w:t>
      </w:r>
    </w:p>
    <w:p>
      <w:pPr>
        <w:spacing w:line="360" w:lineRule="exact"/>
        <w:ind w:firstLine="420" w:firstLineChars="200"/>
        <w:rPr>
          <w:rFonts w:ascii="宋体" w:hAnsi="宋体" w:eastAsia="宋体"/>
          <w:highlight w:val="none"/>
        </w:rPr>
      </w:pPr>
      <w:r>
        <w:rPr>
          <w:rFonts w:hint="eastAsia" w:ascii="宋体" w:hAnsi="宋体" w:eastAsia="宋体"/>
          <w:highlight w:val="none"/>
        </w:rPr>
        <w:t>2.特色分立课程</w:t>
      </w:r>
    </w:p>
    <w:p>
      <w:pPr>
        <w:spacing w:line="360" w:lineRule="exact"/>
        <w:ind w:firstLine="420" w:firstLineChars="200"/>
        <w:rPr>
          <w:rFonts w:ascii="仿宋" w:hAnsi="楷体" w:eastAsia="仿宋" w:cs="Times New Roman"/>
          <w:color w:val="000000"/>
          <w:highlight w:val="none"/>
        </w:rPr>
      </w:pPr>
      <w:r>
        <w:rPr>
          <w:rFonts w:hint="eastAsia" w:ascii="仿宋" w:hAnsi="楷体" w:eastAsia="仿宋" w:cs="Times New Roman"/>
          <w:color w:val="000000"/>
          <w:highlight w:val="none"/>
        </w:rPr>
        <w:t>（1）现代密码学（5</w:t>
      </w:r>
      <w:r>
        <w:rPr>
          <w:rFonts w:ascii="仿宋" w:hAnsi="楷体" w:eastAsia="仿宋" w:cs="Times New Roman"/>
          <w:color w:val="000000"/>
          <w:highlight w:val="none"/>
        </w:rPr>
        <w:t>102111210</w:t>
      </w:r>
      <w:r>
        <w:rPr>
          <w:rFonts w:hint="eastAsia" w:ascii="仿宋" w:hAnsi="楷体" w:eastAsia="仿宋" w:cs="Times New Roman"/>
          <w:color w:val="000000"/>
          <w:highlight w:val="none"/>
        </w:rPr>
        <w:t>） （60学时）</w:t>
      </w:r>
    </w:p>
    <w:p>
      <w:pPr>
        <w:spacing w:line="36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本课程主要讲授现代密码学基本理论，掌握现代密码学基本技术，理解各类密码算法的应用场景和相关的安全需求，培养信息安全意识，掌握安全需求分析的方法，并了解现代密码学的未来发展方向。</w:t>
      </w:r>
      <w:r>
        <w:rPr>
          <w:rFonts w:hint="eastAsia" w:ascii="宋体" w:eastAsia="宋体" w:cs="宋体"/>
          <w:color w:val="000000"/>
          <w:kern w:val="0"/>
          <w:szCs w:val="21"/>
          <w:highlight w:val="none"/>
        </w:rPr>
        <w:t>教师应充分挖掘该课程领域知识点融入社会主义核心价值观、将思想政治教育融入人才培养全过程，塑造具有严谨、精益求精的工匠品质</w:t>
      </w:r>
      <w:r>
        <w:rPr>
          <w:rFonts w:hint="eastAsia" w:ascii="宋体" w:hAnsi="宋体" w:eastAsia="宋体" w:cs="宋体"/>
          <w:color w:val="000000"/>
          <w:szCs w:val="21"/>
          <w:highlight w:val="none"/>
        </w:rPr>
        <w:t>。</w:t>
      </w:r>
      <w:r>
        <w:rPr>
          <w:rFonts w:hint="eastAsia" w:ascii="宋体" w:hAnsi="宋体" w:eastAsia="宋体" w:cs="宋体"/>
          <w:color w:val="000000"/>
          <w:kern w:val="0"/>
          <w:szCs w:val="21"/>
          <w:highlight w:val="none"/>
        </w:rPr>
        <w:t>本课程运用案例教学、课堂讨论、任务驱动、实践操作、课后练习及现代多媒体等教学手段组织教学。</w:t>
      </w:r>
    </w:p>
    <w:p>
      <w:pPr>
        <w:spacing w:line="360" w:lineRule="exact"/>
        <w:ind w:firstLine="420" w:firstLineChars="200"/>
        <w:rPr>
          <w:rFonts w:ascii="仿宋" w:hAnsi="楷体" w:eastAsia="仿宋" w:cs="Times New Roman"/>
          <w:color w:val="000000"/>
          <w:highlight w:val="none"/>
        </w:rPr>
      </w:pPr>
      <w:r>
        <w:rPr>
          <w:rFonts w:hint="eastAsia" w:ascii="仿宋" w:hAnsi="楷体" w:eastAsia="仿宋" w:cs="Times New Roman"/>
          <w:color w:val="000000"/>
          <w:highlight w:val="none"/>
        </w:rPr>
        <w:t>（2）网络操作系统（N5</w:t>
      </w:r>
      <w:r>
        <w:rPr>
          <w:rFonts w:ascii="仿宋" w:hAnsi="楷体" w:eastAsia="仿宋" w:cs="Times New Roman"/>
          <w:color w:val="000000"/>
          <w:highlight w:val="none"/>
        </w:rPr>
        <w:t>102111211</w:t>
      </w:r>
      <w:r>
        <w:rPr>
          <w:rFonts w:hint="eastAsia" w:ascii="仿宋" w:hAnsi="楷体" w:eastAsia="仿宋" w:cs="Times New Roman"/>
          <w:color w:val="000000"/>
          <w:highlight w:val="none"/>
        </w:rPr>
        <w:t>）（102学时）</w:t>
      </w:r>
    </w:p>
    <w:p>
      <w:pPr>
        <w:spacing w:line="360" w:lineRule="exact"/>
        <w:ind w:firstLine="420" w:firstLineChars="200"/>
        <w:rPr>
          <w:rFonts w:ascii="楷体" w:hAnsi="楷体" w:eastAsia="宋体" w:cs="楷体"/>
          <w:color w:val="000000"/>
          <w:szCs w:val="21"/>
          <w:highlight w:val="none"/>
        </w:rPr>
      </w:pPr>
      <w:r>
        <w:rPr>
          <w:rFonts w:hint="eastAsia" w:ascii="宋体" w:hAnsi="宋体" w:eastAsia="宋体" w:cs="宋体"/>
          <w:color w:val="000000"/>
          <w:szCs w:val="21"/>
          <w:highlight w:val="none"/>
        </w:rPr>
        <w:t>本课程主要讲授操作系统安装与基础应用、操作系统安全配置应用。学生通过该课程的学习，熟悉 windows 和 linux 操作系统基本操作和常用命令，熟悉 windows 和 linux 操作系统安全主要内容，掌握安全配置和防护方法，具备操作系统安全维护能力。教师采用“任务驱动”教学方法，进行“任务引领式”教学，让学生通过执行完整的任务来锻炼综合职业能力，改变教师本位观念，让学生充分发挥主观能动性。各任务的完成通过“案例展示、任务分析、知识讲解、操作示范、课堂模仿、课后实践、问题解析、归纳总结”等步骤进行。</w:t>
      </w:r>
    </w:p>
    <w:p>
      <w:pPr>
        <w:spacing w:line="360" w:lineRule="exact"/>
        <w:ind w:firstLine="420" w:firstLineChars="200"/>
        <w:rPr>
          <w:rFonts w:ascii="仿宋" w:hAnsi="楷体" w:eastAsia="仿宋" w:cs="Times New Roman"/>
          <w:color w:val="000000"/>
          <w:highlight w:val="none"/>
        </w:rPr>
      </w:pPr>
      <w:r>
        <w:rPr>
          <w:rFonts w:hint="eastAsia" w:ascii="仿宋" w:hAnsi="楷体" w:eastAsia="仿宋" w:cs="Times New Roman"/>
          <w:color w:val="000000"/>
          <w:highlight w:val="none"/>
        </w:rPr>
        <w:t>（3）WEB开发及安全管理技术（C5</w:t>
      </w:r>
      <w:r>
        <w:rPr>
          <w:rFonts w:ascii="仿宋" w:hAnsi="楷体" w:eastAsia="仿宋" w:cs="Times New Roman"/>
          <w:color w:val="000000"/>
          <w:highlight w:val="none"/>
        </w:rPr>
        <w:t>102111220</w:t>
      </w:r>
      <w:r>
        <w:rPr>
          <w:rFonts w:hint="eastAsia" w:ascii="仿宋" w:hAnsi="楷体" w:eastAsia="仿宋" w:cs="Times New Roman"/>
          <w:color w:val="000000"/>
          <w:highlight w:val="none"/>
        </w:rPr>
        <w:t>） （136学时）</w:t>
      </w:r>
    </w:p>
    <w:p>
      <w:pPr>
        <w:spacing w:line="360" w:lineRule="exact"/>
        <w:ind w:firstLine="420" w:firstLineChars="200"/>
        <w:rPr>
          <w:rFonts w:ascii="宋体" w:hAnsi="宋体" w:eastAsia="宋体" w:cs="Times New Roman"/>
          <w:color w:val="000000"/>
          <w:highlight w:val="none"/>
        </w:rPr>
      </w:pPr>
      <w:r>
        <w:rPr>
          <w:rFonts w:hint="eastAsia" w:ascii="宋体" w:hAnsi="宋体" w:eastAsia="宋体" w:cs="Times New Roman"/>
          <w:color w:val="000000"/>
          <w:highlight w:val="none"/>
        </w:rPr>
        <w:t>本课程主要讲授网站建设基础、备网站搭建应用、网站安全运维，</w:t>
      </w:r>
      <w:r>
        <w:rPr>
          <w:rFonts w:hint="eastAsia" w:ascii="宋体" w:hAnsi="宋体" w:eastAsia="宋体" w:cs="宋体"/>
          <w:color w:val="000000"/>
          <w:szCs w:val="21"/>
          <w:highlight w:val="none"/>
        </w:rPr>
        <w:t>并通过以上技能的学习培养学生的工匠精神</w:t>
      </w:r>
      <w:r>
        <w:rPr>
          <w:rFonts w:hint="eastAsia" w:ascii="宋体" w:hAnsi="宋体" w:eastAsia="宋体" w:cs="Times New Roman"/>
          <w:color w:val="000000"/>
          <w:highlight w:val="none"/>
        </w:rPr>
        <w:t>。学生通过该课程的学习，掌握至少一种语言的应用开发，具备网站搭建应用能力、熟悉网站相关安全配置操作，如 Apache，Tomcat，IIS 等；掌握 Web 应用防火墙等设备的安装，配置和基本应用。教师采用“任务驱动”教学方法，进行“任务引领式”教学，让学生通过执行完整的任务来锻炼综合职业能力，改变教师本位观念，让学生充分发挥主观能动性。各任务的完成通过“案例展示、任务分析、知识讲解、操作示范、课堂模仿、课后实践、问题解析、归纳总结”等步骤进行。</w:t>
      </w:r>
    </w:p>
    <w:p>
      <w:pPr>
        <w:spacing w:line="360" w:lineRule="exact"/>
        <w:ind w:firstLine="420" w:firstLineChars="200"/>
        <w:rPr>
          <w:rFonts w:ascii="仿宋" w:hAnsi="楷体" w:eastAsia="仿宋" w:cs="Times New Roman"/>
          <w:color w:val="000000"/>
          <w:highlight w:val="none"/>
        </w:rPr>
      </w:pPr>
      <w:r>
        <w:rPr>
          <w:rFonts w:hint="eastAsia" w:ascii="仿宋" w:hAnsi="楷体" w:eastAsia="仿宋" w:cs="Times New Roman"/>
          <w:color w:val="000000"/>
          <w:highlight w:val="none"/>
        </w:rPr>
        <w:t>（4）入侵检测与VPN技术（N5</w:t>
      </w:r>
      <w:r>
        <w:rPr>
          <w:rFonts w:ascii="仿宋" w:hAnsi="楷体" w:eastAsia="仿宋" w:cs="Times New Roman"/>
          <w:color w:val="000000"/>
          <w:highlight w:val="none"/>
        </w:rPr>
        <w:t>102111221</w:t>
      </w:r>
      <w:r>
        <w:rPr>
          <w:rFonts w:hint="eastAsia" w:ascii="仿宋" w:hAnsi="楷体" w:eastAsia="仿宋" w:cs="Times New Roman"/>
          <w:color w:val="000000"/>
          <w:highlight w:val="none"/>
        </w:rPr>
        <w:t>）（102学时）</w:t>
      </w:r>
    </w:p>
    <w:p>
      <w:pPr>
        <w:spacing w:line="360" w:lineRule="exact"/>
        <w:ind w:firstLine="420" w:firstLineChars="200"/>
        <w:rPr>
          <w:rFonts w:ascii="楷体" w:hAnsi="楷体" w:eastAsia="宋体" w:cs="Times New Roman"/>
          <w:color w:val="000000"/>
          <w:highlight w:val="none"/>
        </w:rPr>
      </w:pPr>
      <w:r>
        <w:rPr>
          <w:rFonts w:hint="eastAsia" w:ascii="楷体" w:hAnsi="楷体" w:eastAsia="宋体" w:cs="Times New Roman"/>
          <w:color w:val="000000"/>
          <w:highlight w:val="none"/>
        </w:rPr>
        <w:t>本课程是学习完专业课程后进行的一次全面的综合训练。要求学生能够针对一个具体的要求，搭建网络。明确网络的拓扑结构、设备选型、设备连接、设备配置、</w:t>
      </w:r>
      <w:r>
        <w:rPr>
          <w:rFonts w:ascii="楷体" w:hAnsi="楷体" w:eastAsia="宋体" w:cs="Times New Roman"/>
          <w:color w:val="000000"/>
          <w:highlight w:val="none"/>
        </w:rPr>
        <w:t>IP</w:t>
      </w:r>
      <w:r>
        <w:rPr>
          <w:rFonts w:hint="eastAsia" w:ascii="楷体" w:hAnsi="楷体" w:eastAsia="宋体" w:cs="Times New Roman"/>
          <w:color w:val="000000"/>
          <w:highlight w:val="none"/>
        </w:rPr>
        <w:t>地址分配、网络安全、网络管理，并通过分组的形式，分工合作，使学生掌握标书的制作规范，以及项目管理的主要步骤。</w:t>
      </w:r>
      <w:r>
        <w:rPr>
          <w:rFonts w:hint="eastAsia" w:ascii="宋体" w:eastAsia="宋体" w:cs="宋体"/>
          <w:color w:val="000000"/>
          <w:kern w:val="0"/>
          <w:szCs w:val="21"/>
          <w:highlight w:val="none"/>
        </w:rPr>
        <w:t>教师应充分挖掘该课程领域知识点融入社会主义核心价值观、将思想政治教育融入人才培养全过程，塑造具有严谨、精益求精的工匠品质。</w:t>
      </w:r>
      <w:r>
        <w:rPr>
          <w:rFonts w:hint="eastAsia" w:ascii="楷体" w:hAnsi="楷体" w:eastAsia="宋体" w:cs="Times New Roman"/>
          <w:color w:val="000000"/>
          <w:highlight w:val="none"/>
        </w:rPr>
        <w:t>通过实地考察企业或学校的现有网络，在此基础上通过具体设计掌握组建小、中、大型网络的基本技术，提高学生的应用能力和动手实践能力。</w:t>
      </w:r>
    </w:p>
    <w:p>
      <w:pPr>
        <w:spacing w:line="360" w:lineRule="exact"/>
        <w:ind w:firstLine="420" w:firstLineChars="200"/>
        <w:rPr>
          <w:rFonts w:ascii="仿宋_GB2312" w:hAnsi="宋体" w:eastAsia="仿宋_GB2312" w:cs="Times New Roman"/>
          <w:color w:val="000000"/>
          <w:highlight w:val="none"/>
        </w:rPr>
      </w:pPr>
      <w:r>
        <w:rPr>
          <w:rFonts w:hint="eastAsia" w:ascii="仿宋_GB2312" w:hAnsi="宋体" w:eastAsia="仿宋_GB2312" w:cs="Times New Roman"/>
          <w:color w:val="000000"/>
          <w:highlight w:val="none"/>
        </w:rPr>
        <w:t>（5）漏洞扫描与防护（N</w:t>
      </w:r>
      <w:r>
        <w:rPr>
          <w:rFonts w:hint="eastAsia" w:ascii="仿宋" w:hAnsi="楷体" w:eastAsia="仿宋" w:cs="Times New Roman"/>
          <w:color w:val="000000"/>
          <w:highlight w:val="none"/>
        </w:rPr>
        <w:t>5</w:t>
      </w:r>
      <w:r>
        <w:rPr>
          <w:rFonts w:ascii="仿宋" w:hAnsi="楷体" w:eastAsia="仿宋" w:cs="Times New Roman"/>
          <w:color w:val="000000"/>
          <w:highlight w:val="none"/>
        </w:rPr>
        <w:t>102111222</w:t>
      </w:r>
      <w:r>
        <w:rPr>
          <w:rFonts w:hint="eastAsia" w:ascii="仿宋_GB2312" w:hAnsi="宋体" w:eastAsia="仿宋_GB2312" w:cs="Times New Roman"/>
          <w:color w:val="000000"/>
          <w:highlight w:val="none"/>
        </w:rPr>
        <w:t>）（102学时）</w:t>
      </w:r>
    </w:p>
    <w:p>
      <w:pPr>
        <w:spacing w:line="360" w:lineRule="exact"/>
        <w:ind w:firstLine="420" w:firstLineChars="200"/>
        <w:rPr>
          <w:rFonts w:ascii="宋体" w:hAnsi="宋体" w:eastAsia="宋体" w:cs="Times New Roman"/>
          <w:color w:val="000000"/>
          <w:highlight w:val="none"/>
        </w:rPr>
      </w:pPr>
      <w:r>
        <w:rPr>
          <w:rFonts w:hint="eastAsia" w:ascii="宋体" w:hAnsi="宋体" w:eastAsia="宋体" w:cs="Times New Roman"/>
          <w:color w:val="000000"/>
          <w:highlight w:val="none"/>
        </w:rPr>
        <w:t>本课程主要讲授操作系统常见漏洞的基本形成原理、危害及防护措施。学生通过该课程的学习，掌握漏洞扫描设备安装和部署，掌握漏洞扫描的基本操作，具备常见漏洞加固的操作和应用能力。教师采用“任务驱动”教学方法，进行“任务引领式”教学，让学生通过执行完整的任务来锻炼综合职业能力，改变教师本位观念，让学生充分发挥主观能动性。各任务的完成通过“案例展示、任务分析、知识讲解、操作示范、课堂模仿、课后实践、问题解析、归纳总结”等步骤进行。</w:t>
      </w:r>
    </w:p>
    <w:p>
      <w:pPr>
        <w:spacing w:line="360" w:lineRule="exact"/>
        <w:ind w:firstLine="420" w:firstLineChars="200"/>
        <w:rPr>
          <w:rFonts w:ascii="仿宋_GB2312" w:hAnsi="宋体" w:eastAsia="仿宋_GB2312" w:cs="Times New Roman"/>
          <w:color w:val="000000"/>
          <w:highlight w:val="none"/>
        </w:rPr>
      </w:pPr>
      <w:r>
        <w:rPr>
          <w:rFonts w:hint="eastAsia" w:ascii="仿宋_GB2312" w:hAnsi="宋体" w:eastAsia="仿宋_GB2312" w:cs="Times New Roman"/>
          <w:color w:val="000000"/>
          <w:highlight w:val="none"/>
        </w:rPr>
        <w:t>（6）python程序设计（</w:t>
      </w:r>
      <w:r>
        <w:rPr>
          <w:rFonts w:ascii="仿宋_GB2312" w:hAnsi="宋体" w:eastAsia="仿宋_GB2312" w:cs="Times New Roman"/>
          <w:color w:val="000000"/>
          <w:highlight w:val="none"/>
        </w:rPr>
        <w:t>N</w:t>
      </w:r>
      <w:r>
        <w:rPr>
          <w:rFonts w:hint="eastAsia" w:ascii="仿宋_GB2312" w:hAnsi="宋体" w:eastAsia="仿宋_GB2312" w:cs="Times New Roman"/>
          <w:color w:val="000000"/>
          <w:highlight w:val="none"/>
        </w:rPr>
        <w:t>5</w:t>
      </w:r>
      <w:r>
        <w:rPr>
          <w:rFonts w:ascii="仿宋_GB2312" w:hAnsi="宋体" w:eastAsia="仿宋_GB2312" w:cs="Times New Roman"/>
          <w:color w:val="000000"/>
          <w:highlight w:val="none"/>
        </w:rPr>
        <w:t>102111223</w:t>
      </w:r>
      <w:r>
        <w:rPr>
          <w:rFonts w:hint="eastAsia" w:ascii="仿宋_GB2312" w:hAnsi="宋体" w:eastAsia="仿宋_GB2312" w:cs="Times New Roman"/>
          <w:color w:val="000000"/>
          <w:highlight w:val="none"/>
        </w:rPr>
        <w:t>）（136学时）</w:t>
      </w:r>
    </w:p>
    <w:p>
      <w:pPr>
        <w:spacing w:line="360" w:lineRule="exact"/>
        <w:ind w:firstLine="420" w:firstLineChars="200"/>
        <w:rPr>
          <w:rFonts w:ascii="仿宋_GB2312" w:hAnsi="宋体" w:eastAsia="仿宋_GB2312" w:cs="Times New Roman"/>
          <w:color w:val="000000"/>
          <w:highlight w:val="none"/>
        </w:rPr>
      </w:pPr>
      <w:r>
        <w:rPr>
          <w:rFonts w:hint="eastAsia" w:ascii="宋体" w:hAnsi="宋体" w:eastAsia="宋体" w:cs="Times New Roman"/>
          <w:color w:val="000000"/>
          <w:highlight w:val="none"/>
        </w:rPr>
        <w:t>本课程主要讲授脚本语言的开发方法，内容从基础到网络编程和安全工具开发，培养学生自动化运维，安全工具编写能力。教师采用“任务驱动”教学方法，进行“任务引领式”教学，让学生通过执行完整的任务来锻炼综合职业能力，改变教师本位观念，让学生充分发挥主观能动性。各任务的完成通过“案例展示、任务分析、知识讲解、操作示范、课堂模仿、课后实践、问题解析、归纳总结”等步骤进行。</w:t>
      </w:r>
    </w:p>
    <w:p>
      <w:pPr>
        <w:spacing w:line="360" w:lineRule="exact"/>
        <w:ind w:firstLine="420" w:firstLineChars="200"/>
        <w:rPr>
          <w:rFonts w:ascii="仿宋_GB2312" w:hAnsi="宋体" w:eastAsia="仿宋_GB2312" w:cs="Times New Roman"/>
          <w:color w:val="000000"/>
          <w:highlight w:val="none"/>
        </w:rPr>
      </w:pPr>
      <w:r>
        <w:rPr>
          <w:rFonts w:hint="eastAsia" w:ascii="仿宋_GB2312" w:hAnsi="宋体" w:eastAsia="仿宋_GB2312" w:cs="Times New Roman"/>
          <w:color w:val="000000"/>
          <w:highlight w:val="none"/>
        </w:rPr>
        <w:t>（7）信息安全等级保护（</w:t>
      </w:r>
      <w:r>
        <w:rPr>
          <w:rFonts w:hint="eastAsia" w:ascii="仿宋" w:hAnsi="楷体" w:eastAsia="仿宋" w:cs="Times New Roman"/>
          <w:color w:val="000000"/>
          <w:highlight w:val="none"/>
        </w:rPr>
        <w:t>5</w:t>
      </w:r>
      <w:r>
        <w:rPr>
          <w:rFonts w:ascii="仿宋" w:hAnsi="楷体" w:eastAsia="仿宋" w:cs="Times New Roman"/>
          <w:color w:val="000000"/>
          <w:highlight w:val="none"/>
        </w:rPr>
        <w:t>102111224</w:t>
      </w:r>
      <w:r>
        <w:rPr>
          <w:rFonts w:hint="eastAsia" w:ascii="仿宋_GB2312" w:hAnsi="宋体" w:eastAsia="仿宋_GB2312" w:cs="Times New Roman"/>
          <w:color w:val="000000"/>
          <w:highlight w:val="none"/>
        </w:rPr>
        <w:t>）（102学时）</w:t>
      </w:r>
    </w:p>
    <w:p>
      <w:pPr>
        <w:spacing w:line="360" w:lineRule="exact"/>
        <w:ind w:firstLine="420" w:firstLineChars="200"/>
        <w:rPr>
          <w:rFonts w:ascii="宋体" w:hAnsi="宋体" w:eastAsia="宋体" w:cs="Times New Roman"/>
          <w:color w:val="000000"/>
          <w:highlight w:val="none"/>
        </w:rPr>
      </w:pPr>
      <w:r>
        <w:rPr>
          <w:rFonts w:hint="eastAsia" w:ascii="宋体" w:hAnsi="宋体" w:eastAsia="宋体" w:cs="Times New Roman"/>
          <w:color w:val="000000"/>
          <w:highlight w:val="none"/>
        </w:rPr>
        <w:t>本课程主要讲授网络安全面临的形势、网络安全与信息安全等级保护制度、信息系统定级与备案、信息安全等级保护等级测评等。学生通过该课程的学习，熟悉网络安全法律法规，具备网络安全与反欺诈意识，熟悉网络安全的法律规定和刑事责任；遵纪守法，洁身自律；熟悉个人、企业员工的常见网络安全问题和危害；掌握个人和企业员工的常见网络安全问题防护方法；掌握等级保护的定级和测评。本课程运用案例教学、课后练习及现代多媒体等教学手段组织教学。</w:t>
      </w:r>
    </w:p>
    <w:p>
      <w:pPr>
        <w:spacing w:line="360" w:lineRule="exact"/>
        <w:ind w:firstLine="420" w:firstLineChars="200"/>
        <w:rPr>
          <w:rFonts w:ascii="仿宋_GB2312" w:hAnsi="宋体" w:eastAsia="仿宋_GB2312" w:cs="Times New Roman"/>
          <w:color w:val="000000"/>
          <w:highlight w:val="none"/>
        </w:rPr>
      </w:pPr>
      <w:r>
        <w:rPr>
          <w:rFonts w:hint="eastAsia" w:ascii="仿宋_GB2312" w:hAnsi="宋体" w:eastAsia="仿宋_GB2312" w:cs="Times New Roman"/>
          <w:color w:val="000000"/>
          <w:highlight w:val="none"/>
        </w:rPr>
        <w:t>（8）网络攻防技术（</w:t>
      </w:r>
      <w:r>
        <w:rPr>
          <w:rFonts w:hint="eastAsia" w:ascii="仿宋" w:hAnsi="楷体" w:eastAsia="仿宋" w:cs="Times New Roman"/>
          <w:color w:val="000000"/>
          <w:highlight w:val="none"/>
        </w:rPr>
        <w:t>5</w:t>
      </w:r>
      <w:r>
        <w:rPr>
          <w:rFonts w:ascii="仿宋" w:hAnsi="楷体" w:eastAsia="仿宋" w:cs="Times New Roman"/>
          <w:color w:val="000000"/>
          <w:highlight w:val="none"/>
        </w:rPr>
        <w:t>102111230</w:t>
      </w:r>
      <w:r>
        <w:rPr>
          <w:rFonts w:hint="eastAsia" w:ascii="仿宋_GB2312" w:hAnsi="宋体" w:eastAsia="仿宋_GB2312" w:cs="Times New Roman"/>
          <w:color w:val="000000"/>
          <w:highlight w:val="none"/>
        </w:rPr>
        <w:t>）（96学时）</w:t>
      </w:r>
    </w:p>
    <w:p>
      <w:pPr>
        <w:spacing w:line="360" w:lineRule="exact"/>
        <w:ind w:firstLine="420" w:firstLineChars="200"/>
        <w:rPr>
          <w:rFonts w:ascii="宋体" w:hAnsi="宋体" w:eastAsia="宋体" w:cs="Times New Roman"/>
          <w:color w:val="000000"/>
          <w:highlight w:val="none"/>
        </w:rPr>
      </w:pPr>
      <w:r>
        <w:rPr>
          <w:rFonts w:hint="eastAsia" w:ascii="宋体" w:hAnsi="宋体" w:eastAsia="宋体" w:cs="Times New Roman"/>
          <w:color w:val="000000"/>
          <w:highlight w:val="none"/>
        </w:rPr>
        <w:t>本课程主要讲授网络安全运维综合实践、网络攻防综合实践应用。学生通过该课程的学习，熟悉网络攻防基本原理，掌握常用网络攻防渗透的方法，工具的基本使用，具备一定的综合实践应用能力。教师采用“任务驱动”教学方法，进行“任务引领式”教学，让学生通过执行完整的任务来锻炼综合职业能力，改变教师本位观念，让学生充分发挥主观能动性。各任务的完成通过“案例展示、任务分析、知识讲解、操作示范、课堂模仿、课后实践、问题解析、归纳总结”等步骤进行。</w:t>
      </w:r>
    </w:p>
    <w:p>
      <w:pPr>
        <w:spacing w:line="360" w:lineRule="exact"/>
        <w:ind w:firstLine="420" w:firstLineChars="200"/>
        <w:rPr>
          <w:rFonts w:ascii="仿宋" w:hAnsi="楷体" w:eastAsia="仿宋" w:cs="Times New Roman"/>
          <w:color w:val="000000"/>
          <w:highlight w:val="none"/>
        </w:rPr>
      </w:pPr>
      <w:r>
        <w:rPr>
          <w:rFonts w:hint="eastAsia" w:ascii="仿宋" w:hAnsi="楷体" w:eastAsia="仿宋" w:cs="Times New Roman"/>
          <w:color w:val="000000"/>
          <w:highlight w:val="none"/>
        </w:rPr>
        <w:t>（9）顶岗实习（5</w:t>
      </w:r>
      <w:r>
        <w:rPr>
          <w:rFonts w:ascii="仿宋" w:hAnsi="楷体" w:eastAsia="仿宋" w:cs="Times New Roman"/>
          <w:color w:val="000000"/>
          <w:highlight w:val="none"/>
        </w:rPr>
        <w:t>102111360</w:t>
      </w:r>
      <w:r>
        <w:rPr>
          <w:rFonts w:hint="eastAsia" w:ascii="仿宋" w:hAnsi="楷体" w:eastAsia="仿宋" w:cs="Times New Roman"/>
          <w:color w:val="000000"/>
          <w:highlight w:val="none"/>
        </w:rPr>
        <w:t>） （260学时）</w:t>
      </w:r>
    </w:p>
    <w:p>
      <w:pPr>
        <w:spacing w:line="360" w:lineRule="exact"/>
        <w:ind w:firstLine="420" w:firstLineChars="200"/>
        <w:rPr>
          <w:rFonts w:ascii="楷体" w:hAnsi="楷体" w:eastAsia="宋体" w:cs="Times New Roman"/>
          <w:color w:val="000000"/>
          <w:highlight w:val="none"/>
        </w:rPr>
      </w:pPr>
      <w:r>
        <w:rPr>
          <w:rFonts w:hint="eastAsia" w:ascii="楷体" w:hAnsi="楷体" w:eastAsia="宋体" w:cs="Times New Roman"/>
          <w:color w:val="000000"/>
          <w:highlight w:val="none"/>
        </w:rPr>
        <w:t>通过顶岗实习，使学生通过基层工作岗位的实践，检验、巩固并加深对专业基础理论和专业知识的理解，提高学生专业实际操作能力，扎实掌握专业技能，提高和强化学生的竞争意识、职业意识和创业意识，转变就业观念，增强就业能力，适应新形势下人才市场对信息安全与管理专业高技能人才的需求，为毕业生顺利就业和在未来就业岗位上更好地发挥作用打下坚实的基础。通过顶岗实习，加强学生职业道德教育，培养学生爱岗敬业、形成良好的职业意识和职业情感，提高岗位认知能力。</w:t>
      </w:r>
    </w:p>
    <w:p>
      <w:pPr>
        <w:spacing w:line="360" w:lineRule="exact"/>
        <w:ind w:firstLine="420" w:firstLineChars="200"/>
        <w:rPr>
          <w:rFonts w:ascii="仿宋" w:hAnsi="楷体" w:eastAsia="仿宋" w:cs="Times New Roman"/>
          <w:color w:val="000000"/>
          <w:highlight w:val="none"/>
        </w:rPr>
      </w:pPr>
      <w:r>
        <w:rPr>
          <w:rFonts w:hint="eastAsia" w:ascii="仿宋" w:hAnsi="楷体" w:eastAsia="仿宋" w:cs="Times New Roman"/>
          <w:color w:val="000000"/>
          <w:highlight w:val="none"/>
        </w:rPr>
        <w:t>（10）毕业论文（5</w:t>
      </w:r>
      <w:r>
        <w:rPr>
          <w:rFonts w:ascii="仿宋" w:hAnsi="楷体" w:eastAsia="仿宋" w:cs="Times New Roman"/>
          <w:color w:val="000000"/>
          <w:highlight w:val="none"/>
        </w:rPr>
        <w:t>102111361</w:t>
      </w:r>
      <w:r>
        <w:rPr>
          <w:rFonts w:hint="eastAsia" w:ascii="仿宋" w:hAnsi="楷体" w:eastAsia="仿宋" w:cs="Times New Roman"/>
          <w:color w:val="000000"/>
          <w:highlight w:val="none"/>
        </w:rPr>
        <w:t>） （100学时）</w:t>
      </w:r>
    </w:p>
    <w:p>
      <w:pPr>
        <w:spacing w:line="360" w:lineRule="exact"/>
        <w:ind w:firstLine="420" w:firstLineChars="200"/>
        <w:rPr>
          <w:rFonts w:ascii="宋体" w:hAnsi="宋体" w:eastAsia="宋体"/>
          <w:highlight w:val="none"/>
        </w:rPr>
      </w:pPr>
      <w:r>
        <w:rPr>
          <w:rFonts w:hint="eastAsia" w:ascii="楷体" w:hAnsi="楷体" w:eastAsia="宋体" w:cs="Times New Roman"/>
          <w:color w:val="000000"/>
          <w:highlight w:val="none"/>
        </w:rPr>
        <w:t>学生综合运用所学的基础理论和专业知识，在生产第一线接受较全面的实际操作技能训练，接受劳动纪律教育、安全教育、职业道德教育、集体主义教育，使学生毕业后能胜任企业经营及相关管理工作，培养学生观察、分析、解决和处理实际问题的职业素养。学生结合顶岗实习撰写本专业的毕业论文，合格者可获得相应的学分。</w:t>
      </w:r>
    </w:p>
    <w:p>
      <w:pPr>
        <w:spacing w:line="360" w:lineRule="exact"/>
        <w:ind w:firstLine="420" w:firstLineChars="200"/>
        <w:rPr>
          <w:rFonts w:ascii="宋体" w:hAnsi="宋体" w:eastAsia="宋体"/>
          <w:highlight w:val="none"/>
        </w:rPr>
      </w:pPr>
      <w:r>
        <w:rPr>
          <w:rFonts w:hint="eastAsia" w:ascii="宋体" w:hAnsi="宋体" w:eastAsia="宋体"/>
          <w:highlight w:val="none"/>
        </w:rPr>
        <w:t>3.互选拓展课程</w:t>
      </w:r>
    </w:p>
    <w:p>
      <w:pPr>
        <w:spacing w:line="360" w:lineRule="exact"/>
        <w:ind w:firstLine="420" w:firstLineChars="200"/>
        <w:rPr>
          <w:rFonts w:ascii="宋体" w:hAnsi="宋体" w:eastAsia="宋体"/>
          <w:highlight w:val="none"/>
        </w:rPr>
      </w:pPr>
      <w:r>
        <w:rPr>
          <w:rFonts w:hint="eastAsia" w:ascii="宋体" w:hAnsi="宋体" w:eastAsia="宋体"/>
          <w:highlight w:val="none"/>
        </w:rPr>
        <w:t>（1）</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vAlign w:val="center"/>
          </w:tcPr>
          <w:p>
            <w:pPr>
              <w:snapToGrid w:val="0"/>
              <w:spacing w:line="380" w:lineRule="exact"/>
              <w:jc w:val="center"/>
              <w:rPr>
                <w:rFonts w:ascii="楷体" w:hAnsi="楷体" w:eastAsia="宋体" w:cs="Times New Roman"/>
                <w:color w:val="000000"/>
                <w:szCs w:val="21"/>
                <w:highlight w:val="none"/>
              </w:rPr>
            </w:pPr>
            <w:r>
              <w:rPr>
                <w:rFonts w:hint="eastAsia" w:ascii="楷体" w:hAnsi="楷体" w:eastAsia="宋体" w:cs="楷体"/>
                <w:b/>
                <w:color w:val="000000"/>
                <w:szCs w:val="21"/>
                <w:highlight w:val="none"/>
              </w:rPr>
              <w:t>课程名称</w:t>
            </w:r>
          </w:p>
        </w:tc>
        <w:tc>
          <w:tcPr>
            <w:tcW w:w="3088" w:type="dxa"/>
            <w:tcBorders>
              <w:top w:val="double" w:color="auto" w:sz="4" w:space="0"/>
              <w:bottom w:val="double" w:color="auto" w:sz="4" w:space="0"/>
              <w:right w:val="single" w:color="auto" w:sz="4" w:space="0"/>
            </w:tcBorders>
            <w:shd w:val="clear" w:color="auto" w:fill="D9D9D9"/>
            <w:vAlign w:val="center"/>
          </w:tcPr>
          <w:p>
            <w:pPr>
              <w:snapToGrid w:val="0"/>
              <w:spacing w:line="380" w:lineRule="exact"/>
              <w:jc w:val="center"/>
              <w:rPr>
                <w:rFonts w:ascii="楷体" w:hAnsi="楷体" w:eastAsia="宋体" w:cs="Times New Roman"/>
                <w:color w:val="000000"/>
                <w:szCs w:val="21"/>
                <w:highlight w:val="none"/>
              </w:rPr>
            </w:pPr>
            <w:r>
              <w:rPr>
                <w:rFonts w:ascii="楷体" w:hAnsi="楷体" w:eastAsia="宋体" w:cs="Times New Roman"/>
                <w:color w:val="000000"/>
                <w:szCs w:val="21"/>
                <w:highlight w:val="none"/>
              </w:rPr>
              <w:t>网络设备配置与管理</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jc w:val="center"/>
              <w:rPr>
                <w:rFonts w:ascii="楷体" w:hAnsi="楷体" w:eastAsia="宋体" w:cs="Times New Roman"/>
                <w:b/>
                <w:color w:val="000000"/>
                <w:szCs w:val="21"/>
                <w:highlight w:val="none"/>
              </w:rPr>
            </w:pPr>
            <w:r>
              <w:rPr>
                <w:rFonts w:hint="eastAsia" w:ascii="楷体" w:hAnsi="楷体" w:eastAsia="宋体" w:cs="楷体"/>
                <w:b/>
                <w:color w:val="000000"/>
                <w:szCs w:val="21"/>
                <w:highlight w:val="none"/>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jc w:val="center"/>
              <w:rPr>
                <w:rFonts w:ascii="楷体" w:hAnsi="楷体" w:eastAsia="宋体" w:cs="Times New Roman"/>
                <w:color w:val="000000"/>
                <w:szCs w:val="21"/>
                <w:highlight w:val="none"/>
              </w:rPr>
            </w:pPr>
            <w:r>
              <w:rPr>
                <w:rFonts w:hint="eastAsia" w:ascii="楷体" w:hAnsi="楷体" w:eastAsia="宋体" w:cs="Times New Roman"/>
                <w:color w:val="000000"/>
                <w:szCs w:val="21"/>
                <w:highlight w:val="none"/>
              </w:rPr>
              <w:t>第5学期</w:t>
            </w:r>
          </w:p>
        </w:tc>
        <w:tc>
          <w:tcPr>
            <w:tcW w:w="1057"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ind w:left="42"/>
              <w:jc w:val="center"/>
              <w:rPr>
                <w:rFonts w:ascii="楷体" w:hAnsi="楷体" w:eastAsia="宋体" w:cs="Times New Roman"/>
                <w:b/>
                <w:color w:val="000000"/>
                <w:szCs w:val="21"/>
                <w:highlight w:val="none"/>
              </w:rPr>
            </w:pPr>
            <w:r>
              <w:rPr>
                <w:rFonts w:hint="eastAsia" w:ascii="楷体" w:hAnsi="楷体" w:eastAsia="宋体" w:cs="楷体"/>
                <w:b/>
                <w:color w:val="000000"/>
                <w:szCs w:val="21"/>
                <w:highlight w:val="none"/>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tcMar>
              <w:left w:w="0" w:type="dxa"/>
              <w:right w:w="0" w:type="dxa"/>
            </w:tcMar>
            <w:vAlign w:val="center"/>
          </w:tcPr>
          <w:p>
            <w:pPr>
              <w:snapToGrid w:val="0"/>
              <w:spacing w:line="380" w:lineRule="exact"/>
              <w:jc w:val="center"/>
              <w:rPr>
                <w:rFonts w:ascii="楷体" w:hAnsi="楷体" w:eastAsia="宋体" w:cs="Times New Roman"/>
                <w:color w:val="000000"/>
                <w:szCs w:val="21"/>
                <w:highlight w:val="none"/>
              </w:rPr>
            </w:pPr>
            <w:r>
              <w:rPr>
                <w:rFonts w:hint="eastAsia" w:ascii="楷体" w:hAnsi="楷体" w:eastAsia="宋体" w:cs="Times New Roman"/>
                <w:bCs/>
                <w:color w:val="000000"/>
                <w:szCs w:val="21"/>
                <w:highlight w:val="none"/>
              </w:rPr>
              <w:t>64h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tcPr>
          <w:p>
            <w:pPr>
              <w:widowControl/>
              <w:snapToGrid w:val="0"/>
              <w:spacing w:line="380" w:lineRule="exact"/>
              <w:jc w:val="left"/>
              <w:rPr>
                <w:rFonts w:ascii="楷体" w:hAnsi="楷体" w:eastAsia="宋体" w:cs="楷体"/>
                <w:bCs/>
                <w:color w:val="000000"/>
                <w:szCs w:val="21"/>
                <w:highlight w:val="none"/>
              </w:rPr>
            </w:pPr>
            <w:r>
              <w:rPr>
                <w:rFonts w:hint="eastAsia" w:ascii="楷体" w:hAnsi="楷体" w:eastAsia="宋体" w:cs="楷体"/>
                <w:bCs/>
                <w:color w:val="000000"/>
                <w:szCs w:val="21"/>
                <w:highlight w:val="none"/>
              </w:rPr>
              <w:t>学习目标:</w:t>
            </w:r>
          </w:p>
          <w:p>
            <w:pPr>
              <w:widowControl/>
              <w:snapToGrid w:val="0"/>
              <w:spacing w:line="380" w:lineRule="exact"/>
              <w:ind w:firstLine="420" w:firstLineChars="200"/>
              <w:jc w:val="left"/>
              <w:rPr>
                <w:rFonts w:ascii="楷体" w:hAnsi="楷体" w:eastAsia="宋体" w:cs="Times New Roman"/>
                <w:color w:val="000000"/>
                <w:szCs w:val="21"/>
                <w:highlight w:val="none"/>
              </w:rPr>
            </w:pPr>
            <w:r>
              <w:rPr>
                <w:rFonts w:hint="eastAsia" w:ascii="楷体" w:hAnsi="楷体" w:eastAsia="宋体" w:cs="楷体"/>
                <w:bCs/>
                <w:color w:val="000000"/>
                <w:szCs w:val="21"/>
                <w:highlight w:val="none"/>
              </w:rPr>
              <w:t>通过本课程学习，学生作为物联网企业</w:t>
            </w:r>
            <w:r>
              <w:rPr>
                <w:rFonts w:hint="eastAsia" w:ascii="楷体" w:hAnsi="楷体" w:eastAsia="宋体" w:cs="Times New Roman"/>
                <w:color w:val="000000"/>
                <w:szCs w:val="21"/>
                <w:highlight w:val="none"/>
              </w:rPr>
              <w:t>网络管理</w:t>
            </w:r>
            <w:r>
              <w:rPr>
                <w:rFonts w:hint="eastAsia" w:ascii="楷体" w:hAnsi="楷体" w:eastAsia="宋体" w:cs="楷体"/>
                <w:bCs/>
                <w:color w:val="000000"/>
                <w:szCs w:val="21"/>
                <w:highlight w:val="none"/>
              </w:rPr>
              <w:t>岗位人员，</w:t>
            </w:r>
            <w:r>
              <w:rPr>
                <w:rFonts w:hint="eastAsia" w:ascii="楷体" w:hAnsi="楷体" w:eastAsia="宋体" w:cs="Times New Roman"/>
                <w:color w:val="000000"/>
                <w:szCs w:val="21"/>
                <w:highlight w:val="none"/>
              </w:rPr>
              <w:t>在物联网工程项目实施后期或已经完成的情境下，按网络工程</w:t>
            </w:r>
            <w:r>
              <w:rPr>
                <w:rFonts w:ascii="楷体" w:hAnsi="楷体" w:eastAsia="宋体" w:cs="Times New Roman"/>
                <w:color w:val="000000"/>
                <w:spacing w:val="-4"/>
                <w:szCs w:val="21"/>
                <w:highlight w:val="none"/>
              </w:rPr>
              <w:t>师</w:t>
            </w:r>
            <w:r>
              <w:rPr>
                <w:rFonts w:hint="eastAsia" w:ascii="楷体" w:hAnsi="楷体" w:eastAsia="宋体" w:cs="Times New Roman"/>
                <w:color w:val="000000"/>
                <w:spacing w:val="-4"/>
                <w:szCs w:val="21"/>
                <w:highlight w:val="none"/>
              </w:rPr>
              <w:t>要求</w:t>
            </w:r>
            <w:r>
              <w:rPr>
                <w:rFonts w:hint="eastAsia" w:ascii="楷体" w:hAnsi="楷体" w:eastAsia="宋体" w:cs="Times New Roman"/>
                <w:color w:val="000000"/>
                <w:szCs w:val="21"/>
                <w:highlight w:val="none"/>
              </w:rPr>
              <w:t>完成以下工作任务：</w:t>
            </w:r>
          </w:p>
          <w:p>
            <w:pPr>
              <w:widowControl/>
              <w:snapToGrid w:val="0"/>
              <w:spacing w:line="380" w:lineRule="exact"/>
              <w:ind w:firstLine="420" w:firstLineChars="200"/>
              <w:jc w:val="left"/>
              <w:rPr>
                <w:rFonts w:ascii="楷体" w:hAnsi="楷体" w:eastAsia="宋体" w:cs="Times New Roman"/>
                <w:color w:val="000000"/>
                <w:szCs w:val="21"/>
                <w:highlight w:val="none"/>
              </w:rPr>
            </w:pPr>
            <w:r>
              <w:rPr>
                <w:rFonts w:hint="eastAsia" w:ascii="楷体" w:hAnsi="楷体" w:eastAsia="宋体" w:cs="Times New Roman"/>
                <w:color w:val="000000"/>
                <w:szCs w:val="21"/>
                <w:highlight w:val="none"/>
              </w:rPr>
              <w:t>1．用户需求分析；</w:t>
            </w:r>
          </w:p>
          <w:p>
            <w:pPr>
              <w:widowControl/>
              <w:snapToGrid w:val="0"/>
              <w:spacing w:line="380" w:lineRule="exact"/>
              <w:ind w:firstLine="420" w:firstLineChars="200"/>
              <w:jc w:val="left"/>
              <w:rPr>
                <w:rFonts w:ascii="楷体" w:hAnsi="楷体" w:eastAsia="宋体" w:cs="Times New Roman"/>
                <w:color w:val="000000"/>
                <w:szCs w:val="21"/>
                <w:highlight w:val="none"/>
              </w:rPr>
            </w:pPr>
            <w:r>
              <w:rPr>
                <w:rFonts w:hint="eastAsia" w:ascii="楷体" w:hAnsi="楷体" w:eastAsia="宋体" w:cs="Times New Roman"/>
                <w:color w:val="000000"/>
                <w:szCs w:val="21"/>
                <w:highlight w:val="none"/>
              </w:rPr>
              <w:t>2．制订网络设备及物联网设备配置与管理方案；</w:t>
            </w:r>
          </w:p>
          <w:p>
            <w:pPr>
              <w:widowControl/>
              <w:snapToGrid w:val="0"/>
              <w:spacing w:line="380" w:lineRule="exact"/>
              <w:ind w:firstLine="420" w:firstLineChars="200"/>
              <w:jc w:val="left"/>
              <w:rPr>
                <w:rFonts w:ascii="楷体" w:hAnsi="楷体" w:eastAsia="宋体" w:cs="Times New Roman"/>
                <w:color w:val="000000"/>
                <w:szCs w:val="21"/>
                <w:highlight w:val="none"/>
              </w:rPr>
            </w:pPr>
            <w:r>
              <w:rPr>
                <w:rFonts w:hint="eastAsia" w:ascii="楷体" w:hAnsi="楷体" w:eastAsia="宋体" w:cs="Times New Roman"/>
                <w:color w:val="000000"/>
                <w:szCs w:val="21"/>
                <w:highlight w:val="none"/>
              </w:rPr>
              <w:t>3．选择网络及物联网硬件设备；</w:t>
            </w:r>
          </w:p>
          <w:p>
            <w:pPr>
              <w:widowControl/>
              <w:snapToGrid w:val="0"/>
              <w:spacing w:line="380" w:lineRule="exact"/>
              <w:ind w:firstLine="420" w:firstLineChars="200"/>
              <w:jc w:val="left"/>
              <w:rPr>
                <w:rFonts w:ascii="楷体" w:hAnsi="楷体" w:eastAsia="宋体" w:cs="Times New Roman"/>
                <w:color w:val="000000"/>
                <w:szCs w:val="21"/>
                <w:highlight w:val="none"/>
              </w:rPr>
            </w:pPr>
            <w:r>
              <w:rPr>
                <w:rFonts w:hint="eastAsia" w:ascii="楷体" w:hAnsi="楷体" w:eastAsia="宋体" w:cs="Times New Roman"/>
                <w:color w:val="000000"/>
                <w:szCs w:val="21"/>
                <w:highlight w:val="none"/>
              </w:rPr>
              <w:t>4．设备安装与调试；</w:t>
            </w:r>
          </w:p>
          <w:p>
            <w:pPr>
              <w:widowControl/>
              <w:snapToGrid w:val="0"/>
              <w:spacing w:line="380" w:lineRule="exact"/>
              <w:ind w:firstLine="420" w:firstLineChars="200"/>
              <w:jc w:val="left"/>
              <w:rPr>
                <w:rFonts w:ascii="楷体" w:hAnsi="楷体" w:eastAsia="宋体" w:cs="Times New Roman"/>
                <w:color w:val="000000"/>
                <w:szCs w:val="21"/>
                <w:highlight w:val="none"/>
              </w:rPr>
            </w:pPr>
            <w:r>
              <w:rPr>
                <w:rFonts w:hint="eastAsia" w:ascii="楷体" w:hAnsi="楷体" w:eastAsia="宋体" w:cs="Times New Roman"/>
                <w:color w:val="000000"/>
                <w:szCs w:val="21"/>
                <w:highlight w:val="none"/>
              </w:rPr>
              <w:t>5．对硬件进行设置和调配；</w:t>
            </w:r>
          </w:p>
          <w:p>
            <w:pPr>
              <w:widowControl/>
              <w:snapToGrid w:val="0"/>
              <w:spacing w:line="380" w:lineRule="exact"/>
              <w:ind w:firstLine="420" w:firstLineChars="200"/>
              <w:jc w:val="left"/>
              <w:rPr>
                <w:rFonts w:ascii="楷体" w:hAnsi="楷体" w:eastAsia="宋体" w:cs="Times New Roman"/>
                <w:color w:val="000000"/>
                <w:szCs w:val="21"/>
                <w:highlight w:val="none"/>
              </w:rPr>
            </w:pPr>
            <w:r>
              <w:rPr>
                <w:rFonts w:hint="eastAsia" w:ascii="楷体" w:hAnsi="楷体" w:eastAsia="宋体" w:cs="Times New Roman"/>
                <w:color w:val="000000"/>
                <w:szCs w:val="21"/>
                <w:highlight w:val="none"/>
              </w:rPr>
              <w:t>6．设备故障排除与维护；</w:t>
            </w:r>
          </w:p>
          <w:p>
            <w:pPr>
              <w:widowControl/>
              <w:snapToGrid w:val="0"/>
              <w:spacing w:line="380" w:lineRule="exact"/>
              <w:ind w:firstLine="420" w:firstLineChars="200"/>
              <w:jc w:val="left"/>
              <w:rPr>
                <w:rFonts w:ascii="楷体" w:hAnsi="楷体" w:eastAsia="宋体" w:cs="Times New Roman"/>
                <w:color w:val="000000"/>
                <w:szCs w:val="21"/>
                <w:highlight w:val="none"/>
              </w:rPr>
            </w:pPr>
            <w:r>
              <w:rPr>
                <w:rFonts w:hint="eastAsia" w:ascii="楷体" w:hAnsi="楷体" w:eastAsia="宋体" w:cs="Times New Roman"/>
                <w:color w:val="000000"/>
                <w:szCs w:val="21"/>
                <w:highlight w:val="none"/>
              </w:rPr>
              <w:t>7．填写设备</w:t>
            </w:r>
            <w:r>
              <w:rPr>
                <w:rFonts w:ascii="楷体" w:hAnsi="楷体" w:eastAsia="宋体" w:cs="Times New Roman"/>
                <w:color w:val="000000"/>
                <w:szCs w:val="21"/>
                <w:highlight w:val="none"/>
              </w:rPr>
              <w:t>运行日志</w:t>
            </w:r>
            <w:r>
              <w:rPr>
                <w:rFonts w:hint="eastAsia" w:ascii="楷体" w:hAnsi="楷体" w:eastAsia="宋体" w:cs="Times New Roman"/>
                <w:color w:val="000000"/>
                <w:szCs w:val="21"/>
                <w:highlight w:val="none"/>
              </w:rPr>
              <w:t>及相关技术文档；</w:t>
            </w:r>
          </w:p>
          <w:p>
            <w:pPr>
              <w:widowControl/>
              <w:snapToGrid w:val="0"/>
              <w:spacing w:line="380" w:lineRule="exact"/>
              <w:ind w:firstLine="420" w:firstLineChars="200"/>
              <w:jc w:val="left"/>
              <w:rPr>
                <w:rFonts w:ascii="楷体" w:hAnsi="楷体" w:eastAsia="宋体" w:cs="Times New Roman"/>
                <w:color w:val="000000"/>
                <w:szCs w:val="21"/>
                <w:highlight w:val="none"/>
              </w:rPr>
            </w:pPr>
            <w:r>
              <w:rPr>
                <w:rFonts w:hint="eastAsia" w:ascii="楷体" w:hAnsi="楷体" w:eastAsia="宋体" w:cs="Times New Roman"/>
                <w:color w:val="000000"/>
                <w:szCs w:val="21"/>
                <w:highlight w:val="none"/>
              </w:rPr>
              <w:t xml:space="preserve">8. </w:t>
            </w:r>
            <w:r>
              <w:rPr>
                <w:rFonts w:hint="eastAsia" w:ascii="楷体" w:hAnsi="楷体" w:eastAsia="宋体" w:cs="楷体"/>
                <w:bCs/>
                <w:color w:val="000000"/>
                <w:szCs w:val="21"/>
                <w:highlight w:val="none"/>
              </w:rPr>
              <w:t>通过课程学习，学生可掌握网络设备配置的相关知识，完成交换机、路由器、防火墙等设备的管理，并提升自身的职业素养、职场能力</w:t>
            </w:r>
            <w:r>
              <w:rPr>
                <w:rFonts w:hint="eastAsia" w:ascii="楷体" w:hAnsi="楷体" w:eastAsia="宋体" w:cs="楷体"/>
                <w:color w:val="000000"/>
                <w:szCs w:val="21"/>
                <w:highlight w:val="none"/>
              </w:rPr>
              <w:t>，</w:t>
            </w:r>
            <w:r>
              <w:rPr>
                <w:rFonts w:hint="eastAsia" w:ascii="楷体" w:hAnsi="楷体" w:eastAsia="宋体" w:cs="Times New Roman"/>
                <w:color w:val="000000"/>
                <w:szCs w:val="21"/>
                <w:highlight w:val="none"/>
              </w:rPr>
              <w:t>培养学生敬业、精益、专注等方面的能力</w:t>
            </w:r>
            <w:r>
              <w:rPr>
                <w:rFonts w:hint="eastAsia" w:ascii="楷体" w:hAnsi="楷体" w:eastAsia="宋体" w:cs="楷体"/>
                <w:bCs/>
                <w:color w:val="000000"/>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4585" w:type="dxa"/>
            <w:gridSpan w:val="3"/>
            <w:tcBorders>
              <w:top w:val="single" w:color="auto" w:sz="4" w:space="0"/>
              <w:bottom w:val="double" w:color="auto" w:sz="4" w:space="0"/>
            </w:tcBorders>
          </w:tcPr>
          <w:p>
            <w:pPr>
              <w:snapToGrid w:val="0"/>
              <w:spacing w:line="380" w:lineRule="exact"/>
              <w:rPr>
                <w:rFonts w:ascii="楷体" w:hAnsi="楷体" w:eastAsia="宋体" w:cs="Times New Roman"/>
                <w:b/>
                <w:bCs/>
                <w:color w:val="000000"/>
                <w:szCs w:val="21"/>
                <w:highlight w:val="none"/>
              </w:rPr>
            </w:pPr>
            <w:r>
              <w:rPr>
                <w:rFonts w:hint="eastAsia" w:ascii="楷体" w:hAnsi="楷体" w:eastAsia="宋体" w:cs="楷体"/>
                <w:b/>
                <w:bCs/>
                <w:color w:val="000000"/>
                <w:szCs w:val="21"/>
                <w:highlight w:val="none"/>
              </w:rPr>
              <w:t>教学内容：</w:t>
            </w:r>
          </w:p>
          <w:p>
            <w:pPr>
              <w:snapToGrid w:val="0"/>
              <w:spacing w:line="380" w:lineRule="exact"/>
              <w:ind w:firstLine="420"/>
              <w:rPr>
                <w:rFonts w:ascii="楷体" w:hAnsi="楷体" w:eastAsia="宋体" w:cs="Times New Roman"/>
                <w:color w:val="000000"/>
                <w:szCs w:val="21"/>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555" w:type="dxa"/>
                </w:tcPr>
                <w:p>
                  <w:pPr>
                    <w:widowControl/>
                    <w:tabs>
                      <w:tab w:val="left" w:pos="9160"/>
                      <w:tab w:val="left" w:pos="10076"/>
                      <w:tab w:val="left" w:pos="10992"/>
                      <w:tab w:val="left" w:pos="11908"/>
                      <w:tab w:val="left" w:pos="12824"/>
                      <w:tab w:val="left" w:pos="13740"/>
                      <w:tab w:val="left" w:pos="14656"/>
                    </w:tabs>
                    <w:jc w:val="center"/>
                    <w:rPr>
                      <w:rFonts w:ascii="楷体" w:hAnsi="楷体" w:eastAsia="宋体" w:cs="楷体"/>
                      <w:b/>
                      <w:color w:val="000000"/>
                      <w:kern w:val="0"/>
                      <w:szCs w:val="21"/>
                      <w:highlight w:val="none"/>
                    </w:rPr>
                  </w:pPr>
                  <w:r>
                    <w:rPr>
                      <w:rFonts w:hint="eastAsia" w:ascii="楷体" w:hAnsi="楷体" w:eastAsia="宋体" w:cs="楷体"/>
                      <w:b/>
                      <w:color w:val="000000"/>
                      <w:kern w:val="0"/>
                      <w:szCs w:val="21"/>
                      <w:highlight w:val="none"/>
                    </w:rPr>
                    <w:t>项目</w:t>
                  </w:r>
                </w:p>
              </w:tc>
              <w:tc>
                <w:tcPr>
                  <w:tcW w:w="2880" w:type="dxa"/>
                </w:tcPr>
                <w:p>
                  <w:pPr>
                    <w:widowControl/>
                    <w:tabs>
                      <w:tab w:val="left" w:pos="9160"/>
                      <w:tab w:val="left" w:pos="10076"/>
                      <w:tab w:val="left" w:pos="10992"/>
                      <w:tab w:val="left" w:pos="11908"/>
                      <w:tab w:val="left" w:pos="12824"/>
                      <w:tab w:val="left" w:pos="13740"/>
                      <w:tab w:val="left" w:pos="14656"/>
                    </w:tabs>
                    <w:jc w:val="center"/>
                    <w:rPr>
                      <w:rFonts w:ascii="楷体" w:hAnsi="楷体" w:eastAsia="宋体" w:cs="楷体"/>
                      <w:b/>
                      <w:color w:val="000000"/>
                      <w:kern w:val="0"/>
                      <w:szCs w:val="21"/>
                      <w:highlight w:val="none"/>
                    </w:rPr>
                  </w:pPr>
                  <w:r>
                    <w:rPr>
                      <w:rFonts w:hint="eastAsia" w:ascii="楷体" w:hAnsi="楷体" w:eastAsia="宋体" w:cs="楷体"/>
                      <w:b/>
                      <w:color w:val="000000"/>
                      <w:kern w:val="0"/>
                      <w:szCs w:val="21"/>
                      <w:highlight w:val="none"/>
                    </w:rPr>
                    <w:t>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555" w:type="dxa"/>
                  <w:vAlign w:val="center"/>
                </w:tcPr>
                <w:p>
                  <w:pPr>
                    <w:widowControl/>
                    <w:autoSpaceDE w:val="0"/>
                    <w:autoSpaceDN w:val="0"/>
                    <w:adjustRightInd w:val="0"/>
                    <w:rPr>
                      <w:rFonts w:ascii="楷体" w:hAnsi="楷体" w:eastAsia="宋体" w:cs="Times New Roman"/>
                      <w:color w:val="000000"/>
                      <w:szCs w:val="21"/>
                      <w:highlight w:val="none"/>
                    </w:rPr>
                  </w:pPr>
                  <w:r>
                    <w:rPr>
                      <w:rFonts w:hint="eastAsia" w:ascii="楷体" w:hAnsi="楷体" w:eastAsia="宋体" w:cs="Times New Roman"/>
                      <w:color w:val="000000"/>
                      <w:szCs w:val="21"/>
                      <w:highlight w:val="none"/>
                    </w:rPr>
                    <w:t>一、网络设备配</w:t>
                  </w:r>
                  <w:r>
                    <w:rPr>
                      <w:rFonts w:hint="eastAsia" w:ascii="楷体" w:hAnsi="楷体" w:eastAsia="宋体" w:cs="Times New Roman"/>
                      <w:color w:val="000000"/>
                      <w:szCs w:val="21"/>
                      <w:highlight w:val="none"/>
                    </w:rPr>
                    <w:cr/>
                  </w:r>
                  <w:r>
                    <w:rPr>
                      <w:rFonts w:hint="eastAsia" w:ascii="楷体" w:hAnsi="楷体" w:eastAsia="宋体" w:cs="Times New Roman"/>
                      <w:color w:val="000000"/>
                      <w:szCs w:val="21"/>
                      <w:highlight w:val="none"/>
                    </w:rPr>
                    <w:t>与管理见习——认识系统集成</w:t>
                  </w:r>
                </w:p>
              </w:tc>
              <w:tc>
                <w:tcPr>
                  <w:tcW w:w="2880" w:type="dxa"/>
                </w:tcPr>
                <w:p>
                  <w:pPr>
                    <w:widowControl/>
                    <w:snapToGrid w:val="0"/>
                    <w:spacing w:line="380" w:lineRule="exact"/>
                    <w:rPr>
                      <w:rFonts w:ascii="楷体" w:hAnsi="楷体" w:eastAsia="宋体" w:cs="Times New Roman"/>
                      <w:color w:val="000000"/>
                      <w:szCs w:val="21"/>
                      <w:highlight w:val="none"/>
                    </w:rPr>
                  </w:pPr>
                  <w:r>
                    <w:rPr>
                      <w:rFonts w:hint="eastAsia" w:ascii="楷体" w:hAnsi="楷体" w:eastAsia="宋体" w:cs="Times New Roman"/>
                      <w:color w:val="000000"/>
                      <w:szCs w:val="21"/>
                      <w:highlight w:val="none"/>
                    </w:rPr>
                    <w:t>1．</w:t>
                  </w:r>
                  <w:r>
                    <w:rPr>
                      <w:rFonts w:hint="eastAsia" w:ascii="楷体" w:hAnsi="楷体" w:eastAsia="宋体" w:cs="Times New Roman"/>
                      <w:color w:val="000000"/>
                      <w:kern w:val="0"/>
                      <w:szCs w:val="21"/>
                      <w:highlight w:val="none"/>
                    </w:rPr>
                    <w:t>网络设备</w:t>
                  </w:r>
                  <w:r>
                    <w:rPr>
                      <w:rFonts w:hint="eastAsia" w:ascii="楷体" w:hAnsi="楷体" w:eastAsia="宋体" w:cs="Times New Roman"/>
                      <w:color w:val="000000"/>
                      <w:szCs w:val="21"/>
                      <w:highlight w:val="none"/>
                    </w:rPr>
                    <w:t>硬件组成；</w:t>
                  </w:r>
                </w:p>
                <w:p>
                  <w:pPr>
                    <w:widowControl/>
                    <w:snapToGrid w:val="0"/>
                    <w:spacing w:line="380" w:lineRule="exact"/>
                    <w:rPr>
                      <w:rFonts w:ascii="楷体" w:hAnsi="楷体" w:eastAsia="宋体" w:cs="Times New Roman"/>
                      <w:color w:val="000000"/>
                      <w:szCs w:val="21"/>
                      <w:highlight w:val="none"/>
                    </w:rPr>
                  </w:pPr>
                  <w:r>
                    <w:rPr>
                      <w:rFonts w:hint="eastAsia" w:ascii="楷体" w:hAnsi="楷体" w:eastAsia="宋体" w:cs="Times New Roman"/>
                      <w:color w:val="000000"/>
                      <w:szCs w:val="21"/>
                      <w:highlight w:val="none"/>
                    </w:rPr>
                    <w:t>2．</w:t>
                  </w:r>
                  <w:r>
                    <w:rPr>
                      <w:rFonts w:ascii="楷体" w:hAnsi="楷体" w:eastAsia="宋体" w:cs="楷体"/>
                      <w:color w:val="000000"/>
                      <w:kern w:val="0"/>
                      <w:szCs w:val="21"/>
                      <w:highlight w:val="none"/>
                    </w:rPr>
                    <w:t>各种常</w:t>
                  </w:r>
                  <w:r>
                    <w:rPr>
                      <w:rFonts w:hint="eastAsia" w:ascii="楷体" w:hAnsi="楷体" w:eastAsia="宋体" w:cs="楷体"/>
                      <w:color w:val="000000"/>
                      <w:kern w:val="0"/>
                      <w:szCs w:val="21"/>
                      <w:highlight w:val="none"/>
                    </w:rPr>
                    <w:t>见</w:t>
                  </w:r>
                  <w:r>
                    <w:rPr>
                      <w:rFonts w:ascii="楷体" w:hAnsi="楷体" w:eastAsia="宋体" w:cs="楷体"/>
                      <w:color w:val="000000"/>
                      <w:kern w:val="0"/>
                      <w:szCs w:val="21"/>
                      <w:highlight w:val="none"/>
                    </w:rPr>
                    <w:t>网络设备</w:t>
                  </w:r>
                  <w:r>
                    <w:rPr>
                      <w:rFonts w:hint="eastAsia" w:ascii="楷体" w:hAnsi="楷体" w:eastAsia="宋体" w:cs="楷体"/>
                      <w:color w:val="000000"/>
                      <w:kern w:val="0"/>
                      <w:szCs w:val="21"/>
                      <w:highlight w:val="none"/>
                    </w:rPr>
                    <w:t>及物联网设备的认识</w:t>
                  </w:r>
                  <w:r>
                    <w:rPr>
                      <w:rFonts w:hint="eastAsia" w:ascii="楷体" w:hAnsi="楷体" w:eastAsia="宋体" w:cs="Times New Roman"/>
                      <w:color w:val="000000"/>
                      <w:szCs w:val="21"/>
                      <w:highlight w:val="none"/>
                    </w:rPr>
                    <w:t>；</w:t>
                  </w:r>
                </w:p>
                <w:p>
                  <w:pPr>
                    <w:widowControl/>
                    <w:snapToGrid w:val="0"/>
                    <w:spacing w:line="380" w:lineRule="exact"/>
                    <w:rPr>
                      <w:rFonts w:ascii="楷体" w:hAnsi="楷体" w:eastAsia="宋体" w:cs="Times New Roman"/>
                      <w:color w:val="000000"/>
                      <w:szCs w:val="21"/>
                      <w:highlight w:val="none"/>
                    </w:rPr>
                  </w:pPr>
                  <w:r>
                    <w:rPr>
                      <w:rFonts w:hint="eastAsia" w:ascii="楷体" w:hAnsi="楷体" w:eastAsia="宋体" w:cs="Times New Roman"/>
                      <w:color w:val="000000"/>
                      <w:szCs w:val="21"/>
                      <w:highlight w:val="none"/>
                    </w:rPr>
                    <w:t>3．交换机、路由器等设备的作用；</w:t>
                  </w:r>
                </w:p>
                <w:p>
                  <w:pPr>
                    <w:widowControl/>
                    <w:snapToGrid w:val="0"/>
                    <w:spacing w:line="380" w:lineRule="exact"/>
                    <w:rPr>
                      <w:rFonts w:ascii="楷体" w:hAnsi="楷体" w:eastAsia="宋体" w:cs="Times New Roman"/>
                      <w:color w:val="000000"/>
                      <w:szCs w:val="21"/>
                      <w:highlight w:val="none"/>
                    </w:rPr>
                  </w:pPr>
                  <w:r>
                    <w:rPr>
                      <w:rFonts w:hint="eastAsia" w:ascii="楷体" w:hAnsi="楷体" w:eastAsia="宋体" w:cs="Times New Roman"/>
                      <w:color w:val="000000"/>
                      <w:szCs w:val="21"/>
                      <w:highlight w:val="none"/>
                    </w:rPr>
                    <w:t>4．物联局域网的构成；</w:t>
                  </w:r>
                </w:p>
                <w:p>
                  <w:pPr>
                    <w:widowControl/>
                    <w:snapToGrid w:val="0"/>
                    <w:spacing w:line="380" w:lineRule="exact"/>
                    <w:rPr>
                      <w:rFonts w:ascii="楷体" w:hAnsi="楷体" w:eastAsia="宋体" w:cs="楷体"/>
                      <w:bCs/>
                      <w:color w:val="000000"/>
                      <w:kern w:val="0"/>
                      <w:szCs w:val="21"/>
                      <w:highlight w:val="none"/>
                    </w:rPr>
                  </w:pPr>
                  <w:r>
                    <w:rPr>
                      <w:rFonts w:hint="eastAsia" w:ascii="楷体" w:hAnsi="楷体" w:eastAsia="宋体" w:cs="楷体"/>
                      <w:bCs/>
                      <w:color w:val="000000"/>
                      <w:kern w:val="0"/>
                      <w:szCs w:val="21"/>
                      <w:highlight w:val="none"/>
                    </w:rPr>
                    <w:t>5．</w:t>
                  </w:r>
                  <w:r>
                    <w:rPr>
                      <w:rFonts w:hint="eastAsia" w:ascii="楷体" w:hAnsi="楷体" w:eastAsia="宋体" w:cs="Times New Roman"/>
                      <w:color w:val="000000"/>
                      <w:szCs w:val="21"/>
                      <w:highlight w:val="none"/>
                    </w:rPr>
                    <w:t>网络管理人员在日常服务器管理与维护工作中的工作任务及流程。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555" w:type="dxa"/>
                  <w:vAlign w:val="center"/>
                </w:tcPr>
                <w:p>
                  <w:pPr>
                    <w:widowControl/>
                    <w:autoSpaceDE w:val="0"/>
                    <w:autoSpaceDN w:val="0"/>
                    <w:adjustRightInd w:val="0"/>
                    <w:rPr>
                      <w:rFonts w:ascii="楷体" w:hAnsi="楷体" w:eastAsia="宋体" w:cs="Times New Roman"/>
                      <w:color w:val="000000"/>
                      <w:szCs w:val="21"/>
                      <w:highlight w:val="none"/>
                    </w:rPr>
                  </w:pPr>
                  <w:r>
                    <w:rPr>
                      <w:rFonts w:hint="eastAsia" w:ascii="楷体" w:hAnsi="楷体" w:eastAsia="宋体" w:cs="Times New Roman"/>
                      <w:color w:val="000000"/>
                      <w:kern w:val="0"/>
                      <w:szCs w:val="21"/>
                      <w:highlight w:val="none"/>
                    </w:rPr>
                    <w:t>二、小型物联网组网设备安装与调试</w:t>
                  </w:r>
                </w:p>
              </w:tc>
              <w:tc>
                <w:tcPr>
                  <w:tcW w:w="2880" w:type="dxa"/>
                </w:tcPr>
                <w:p>
                  <w:pPr>
                    <w:widowControl/>
                    <w:snapToGrid w:val="0"/>
                    <w:spacing w:line="380" w:lineRule="exact"/>
                    <w:rPr>
                      <w:rFonts w:ascii="楷体" w:hAnsi="楷体" w:eastAsia="宋体" w:cs="楷体"/>
                      <w:bCs/>
                      <w:color w:val="000000"/>
                      <w:kern w:val="0"/>
                      <w:szCs w:val="21"/>
                      <w:highlight w:val="none"/>
                    </w:rPr>
                  </w:pPr>
                  <w:r>
                    <w:rPr>
                      <w:rFonts w:hint="eastAsia" w:ascii="楷体" w:hAnsi="楷体" w:eastAsia="宋体" w:cs="楷体"/>
                      <w:bCs/>
                      <w:color w:val="000000"/>
                      <w:kern w:val="0"/>
                      <w:szCs w:val="21"/>
                      <w:highlight w:val="none"/>
                    </w:rPr>
                    <w:t>1．</w:t>
                  </w:r>
                  <w:r>
                    <w:rPr>
                      <w:rFonts w:hint="eastAsia" w:ascii="楷体" w:hAnsi="楷体" w:eastAsia="宋体" w:cs="Times New Roman"/>
                      <w:color w:val="000000"/>
                      <w:szCs w:val="21"/>
                      <w:highlight w:val="none"/>
                    </w:rPr>
                    <w:t>局域网IPV4及zigbee、wifi协议的配置</w:t>
                  </w:r>
                  <w:r>
                    <w:rPr>
                      <w:rFonts w:hint="eastAsia" w:ascii="楷体" w:hAnsi="楷体" w:eastAsia="宋体" w:cs="楷体"/>
                      <w:bCs/>
                      <w:color w:val="000000"/>
                      <w:kern w:val="0"/>
                      <w:szCs w:val="21"/>
                      <w:highlight w:val="none"/>
                    </w:rPr>
                    <w:t>；</w:t>
                  </w:r>
                </w:p>
                <w:p>
                  <w:pPr>
                    <w:widowControl/>
                    <w:snapToGrid w:val="0"/>
                    <w:spacing w:line="380" w:lineRule="exact"/>
                    <w:rPr>
                      <w:rFonts w:ascii="楷体" w:hAnsi="楷体" w:eastAsia="宋体" w:cs="楷体"/>
                      <w:bCs/>
                      <w:color w:val="000000"/>
                      <w:kern w:val="0"/>
                      <w:szCs w:val="21"/>
                      <w:highlight w:val="none"/>
                    </w:rPr>
                  </w:pPr>
                  <w:r>
                    <w:rPr>
                      <w:rFonts w:hint="eastAsia" w:ascii="楷体" w:hAnsi="楷体" w:eastAsia="宋体" w:cs="楷体"/>
                      <w:bCs/>
                      <w:color w:val="000000"/>
                      <w:kern w:val="0"/>
                      <w:szCs w:val="21"/>
                      <w:highlight w:val="none"/>
                    </w:rPr>
                    <w:t>2．</w:t>
                  </w:r>
                  <w:r>
                    <w:rPr>
                      <w:rFonts w:hint="eastAsia" w:ascii="楷体" w:hAnsi="楷体" w:eastAsia="宋体" w:cs="Times New Roman"/>
                      <w:color w:val="000000"/>
                      <w:szCs w:val="21"/>
                      <w:highlight w:val="none"/>
                    </w:rPr>
                    <w:t>对不同大小的局域网进行划分，并有效利用IP地址资源</w:t>
                  </w:r>
                  <w:r>
                    <w:rPr>
                      <w:rFonts w:hint="eastAsia" w:ascii="楷体" w:hAnsi="楷体" w:eastAsia="宋体" w:cs="楷体"/>
                      <w:bCs/>
                      <w:color w:val="000000"/>
                      <w:kern w:val="0"/>
                      <w:szCs w:val="21"/>
                      <w:highlight w:val="none"/>
                    </w:rPr>
                    <w:t>；</w:t>
                  </w:r>
                </w:p>
                <w:p>
                  <w:pPr>
                    <w:widowControl/>
                    <w:snapToGrid w:val="0"/>
                    <w:spacing w:line="380" w:lineRule="exact"/>
                    <w:rPr>
                      <w:rFonts w:ascii="楷体" w:hAnsi="楷体" w:eastAsia="宋体" w:cs="楷体"/>
                      <w:bCs/>
                      <w:color w:val="000000"/>
                      <w:kern w:val="0"/>
                      <w:szCs w:val="21"/>
                      <w:highlight w:val="none"/>
                    </w:rPr>
                  </w:pPr>
                  <w:r>
                    <w:rPr>
                      <w:rFonts w:hint="eastAsia" w:ascii="楷体" w:hAnsi="楷体" w:eastAsia="宋体" w:cs="楷体"/>
                      <w:bCs/>
                      <w:color w:val="000000"/>
                      <w:kern w:val="0"/>
                      <w:szCs w:val="21"/>
                      <w:highlight w:val="none"/>
                    </w:rPr>
                    <w:t>3．交换机与宽带路由器作用；</w:t>
                  </w:r>
                </w:p>
                <w:p>
                  <w:pPr>
                    <w:widowControl/>
                    <w:autoSpaceDE w:val="0"/>
                    <w:autoSpaceDN w:val="0"/>
                    <w:adjustRightInd w:val="0"/>
                    <w:jc w:val="left"/>
                    <w:rPr>
                      <w:rFonts w:ascii="楷体" w:hAnsi="楷体" w:eastAsia="宋体" w:cs="Times New Roman"/>
                      <w:color w:val="000000"/>
                      <w:szCs w:val="21"/>
                      <w:highlight w:val="none"/>
                    </w:rPr>
                  </w:pPr>
                  <w:r>
                    <w:rPr>
                      <w:rFonts w:hint="eastAsia" w:ascii="楷体" w:hAnsi="楷体" w:eastAsia="宋体" w:cs="楷体"/>
                      <w:bCs/>
                      <w:color w:val="000000"/>
                      <w:kern w:val="0"/>
                      <w:szCs w:val="21"/>
                      <w:highlight w:val="none"/>
                    </w:rPr>
                    <w:t>4.</w:t>
                  </w:r>
                  <w:r>
                    <w:rPr>
                      <w:rFonts w:hint="eastAsia" w:ascii="楷体" w:hAnsi="楷体" w:eastAsia="宋体" w:cs="Times New Roman"/>
                      <w:color w:val="000000"/>
                      <w:szCs w:val="21"/>
                      <w:highlight w:val="none"/>
                    </w:rPr>
                    <w:t>常用</w:t>
                  </w:r>
                  <w:r>
                    <w:rPr>
                      <w:rFonts w:hint="eastAsia" w:ascii="楷体" w:hAnsi="楷体" w:eastAsia="宋体" w:cs="楷体"/>
                      <w:bCs/>
                      <w:color w:val="000000"/>
                      <w:kern w:val="0"/>
                      <w:szCs w:val="21"/>
                      <w:highlight w:val="none"/>
                    </w:rPr>
                    <w:t>交换机和宽带路由器安装与调试。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555" w:type="dxa"/>
                  <w:vAlign w:val="center"/>
                </w:tcPr>
                <w:p>
                  <w:pPr>
                    <w:rPr>
                      <w:rFonts w:ascii="楷体" w:hAnsi="楷体" w:eastAsia="宋体" w:cs="Times New Roman"/>
                      <w:color w:val="000000"/>
                      <w:szCs w:val="21"/>
                      <w:highlight w:val="none"/>
                    </w:rPr>
                  </w:pPr>
                  <w:r>
                    <w:rPr>
                      <w:rFonts w:hint="eastAsia" w:ascii="楷体" w:hAnsi="楷体" w:eastAsia="宋体" w:cs="Times New Roman"/>
                      <w:color w:val="000000"/>
                      <w:kern w:val="0"/>
                      <w:szCs w:val="21"/>
                      <w:highlight w:val="none"/>
                    </w:rPr>
                    <w:t>三、一般企业办公网设备安装与调试</w:t>
                  </w:r>
                </w:p>
              </w:tc>
              <w:tc>
                <w:tcPr>
                  <w:tcW w:w="2880" w:type="dxa"/>
                </w:tcPr>
                <w:p>
                  <w:pPr>
                    <w:widowControl/>
                    <w:snapToGrid w:val="0"/>
                    <w:spacing w:line="380" w:lineRule="exact"/>
                    <w:rPr>
                      <w:rFonts w:ascii="楷体" w:hAnsi="楷体" w:eastAsia="宋体" w:cs="楷体"/>
                      <w:bCs/>
                      <w:color w:val="000000"/>
                      <w:kern w:val="0"/>
                      <w:szCs w:val="21"/>
                      <w:highlight w:val="none"/>
                    </w:rPr>
                  </w:pPr>
                  <w:r>
                    <w:rPr>
                      <w:rFonts w:hint="eastAsia" w:ascii="楷体" w:hAnsi="楷体" w:eastAsia="宋体" w:cs="楷体"/>
                      <w:bCs/>
                      <w:color w:val="000000"/>
                      <w:kern w:val="0"/>
                      <w:szCs w:val="21"/>
                      <w:highlight w:val="none"/>
                    </w:rPr>
                    <w:t>1．配置和安装通用型交换机；</w:t>
                  </w:r>
                </w:p>
                <w:p>
                  <w:pPr>
                    <w:widowControl/>
                    <w:snapToGrid w:val="0"/>
                    <w:spacing w:line="380" w:lineRule="exact"/>
                    <w:rPr>
                      <w:rFonts w:ascii="楷体" w:hAnsi="楷体" w:eastAsia="宋体" w:cs="楷体"/>
                      <w:bCs/>
                      <w:color w:val="000000"/>
                      <w:kern w:val="0"/>
                      <w:szCs w:val="21"/>
                      <w:highlight w:val="none"/>
                    </w:rPr>
                  </w:pPr>
                  <w:r>
                    <w:rPr>
                      <w:rFonts w:hint="eastAsia" w:ascii="楷体" w:hAnsi="楷体" w:eastAsia="宋体" w:cs="楷体"/>
                      <w:bCs/>
                      <w:color w:val="000000"/>
                      <w:kern w:val="0"/>
                      <w:szCs w:val="21"/>
                      <w:highlight w:val="none"/>
                    </w:rPr>
                    <w:t>2．配置和安装通用型路由器；</w:t>
                  </w:r>
                </w:p>
                <w:p>
                  <w:pPr>
                    <w:widowControl/>
                    <w:tabs>
                      <w:tab w:val="left" w:pos="360"/>
                    </w:tabs>
                    <w:autoSpaceDE w:val="0"/>
                    <w:autoSpaceDN w:val="0"/>
                    <w:adjustRightInd w:val="0"/>
                    <w:jc w:val="left"/>
                    <w:rPr>
                      <w:rFonts w:ascii="楷体" w:hAnsi="楷体" w:eastAsia="宋体" w:cs="Times New Roman"/>
                      <w:color w:val="000000"/>
                      <w:szCs w:val="21"/>
                      <w:highlight w:val="none"/>
                    </w:rPr>
                  </w:pPr>
                  <w:r>
                    <w:rPr>
                      <w:rFonts w:hint="eastAsia" w:ascii="楷体" w:hAnsi="楷体" w:eastAsia="宋体" w:cs="楷体"/>
                      <w:bCs/>
                      <w:color w:val="000000"/>
                      <w:kern w:val="0"/>
                      <w:szCs w:val="21"/>
                      <w:highlight w:val="none"/>
                    </w:rPr>
                    <w:t>3.简单的设备故障排除。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55" w:type="dxa"/>
                  <w:vAlign w:val="center"/>
                </w:tcPr>
                <w:p>
                  <w:pPr>
                    <w:rPr>
                      <w:rFonts w:ascii="楷体" w:hAnsi="楷体" w:eastAsia="宋体" w:cs="Times New Roman"/>
                      <w:color w:val="000000"/>
                      <w:szCs w:val="21"/>
                      <w:highlight w:val="none"/>
                    </w:rPr>
                  </w:pPr>
                  <w:r>
                    <w:rPr>
                      <w:rFonts w:hint="eastAsia" w:ascii="楷体" w:hAnsi="楷体" w:eastAsia="宋体" w:cs="Times New Roman"/>
                      <w:color w:val="000000"/>
                      <w:kern w:val="0"/>
                      <w:szCs w:val="21"/>
                      <w:highlight w:val="none"/>
                    </w:rPr>
                    <w:t>四、物联网企业设备安装与调试</w:t>
                  </w:r>
                </w:p>
              </w:tc>
              <w:tc>
                <w:tcPr>
                  <w:tcW w:w="2880" w:type="dxa"/>
                </w:tcPr>
                <w:p>
                  <w:pPr>
                    <w:widowControl/>
                    <w:snapToGrid w:val="0"/>
                    <w:spacing w:line="380" w:lineRule="exact"/>
                    <w:rPr>
                      <w:rFonts w:ascii="楷体" w:hAnsi="楷体" w:eastAsia="宋体" w:cs="楷体"/>
                      <w:bCs/>
                      <w:color w:val="000000"/>
                      <w:kern w:val="0"/>
                      <w:szCs w:val="21"/>
                      <w:highlight w:val="none"/>
                    </w:rPr>
                  </w:pPr>
                  <w:r>
                    <w:rPr>
                      <w:rFonts w:hint="eastAsia" w:ascii="楷体" w:hAnsi="楷体" w:eastAsia="宋体" w:cs="楷体"/>
                      <w:bCs/>
                      <w:color w:val="000000"/>
                      <w:kern w:val="0"/>
                      <w:szCs w:val="21"/>
                      <w:highlight w:val="none"/>
                    </w:rPr>
                    <w:t>1．配置和安装不同型号交换机、路由器；</w:t>
                  </w:r>
                </w:p>
                <w:p>
                  <w:pPr>
                    <w:widowControl/>
                    <w:snapToGrid w:val="0"/>
                    <w:spacing w:line="380" w:lineRule="exact"/>
                    <w:rPr>
                      <w:rFonts w:ascii="楷体" w:hAnsi="楷体" w:eastAsia="宋体" w:cs="楷体"/>
                      <w:bCs/>
                      <w:color w:val="000000"/>
                      <w:kern w:val="0"/>
                      <w:szCs w:val="21"/>
                      <w:highlight w:val="none"/>
                    </w:rPr>
                  </w:pPr>
                  <w:r>
                    <w:rPr>
                      <w:rFonts w:hint="eastAsia" w:ascii="楷体" w:hAnsi="楷体" w:eastAsia="宋体" w:cs="楷体"/>
                      <w:bCs/>
                      <w:color w:val="000000"/>
                      <w:kern w:val="0"/>
                      <w:szCs w:val="21"/>
                      <w:highlight w:val="none"/>
                    </w:rPr>
                    <w:t>2．配置和安装常用物联网设备；</w:t>
                  </w:r>
                </w:p>
                <w:p>
                  <w:pPr>
                    <w:widowControl/>
                    <w:snapToGrid w:val="0"/>
                    <w:spacing w:line="380" w:lineRule="exact"/>
                    <w:rPr>
                      <w:rFonts w:ascii="楷体" w:hAnsi="楷体" w:eastAsia="宋体" w:cs="楷体"/>
                      <w:bCs/>
                      <w:color w:val="000000"/>
                      <w:kern w:val="0"/>
                      <w:szCs w:val="21"/>
                      <w:highlight w:val="none"/>
                    </w:rPr>
                  </w:pPr>
                  <w:r>
                    <w:rPr>
                      <w:rFonts w:hint="eastAsia" w:ascii="楷体" w:hAnsi="楷体" w:eastAsia="宋体" w:cs="楷体"/>
                      <w:bCs/>
                      <w:color w:val="000000"/>
                      <w:kern w:val="0"/>
                      <w:szCs w:val="21"/>
                      <w:highlight w:val="none"/>
                    </w:rPr>
                    <w:t>3．解决常见的网络设备故障。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55" w:type="dxa"/>
                  <w:vAlign w:val="center"/>
                </w:tcPr>
                <w:p>
                  <w:pPr>
                    <w:rPr>
                      <w:rFonts w:ascii="楷体" w:hAnsi="楷体" w:eastAsia="宋体" w:cs="Times New Roman"/>
                      <w:b/>
                      <w:color w:val="000000"/>
                      <w:szCs w:val="21"/>
                      <w:highlight w:val="none"/>
                    </w:rPr>
                  </w:pPr>
                  <w:r>
                    <w:rPr>
                      <w:rFonts w:hint="eastAsia" w:ascii="楷体" w:hAnsi="楷体" w:eastAsia="宋体" w:cs="Times New Roman"/>
                      <w:color w:val="000000"/>
                      <w:kern w:val="0"/>
                      <w:szCs w:val="21"/>
                      <w:highlight w:val="none"/>
                    </w:rPr>
                    <w:t>五、企业交换型互联网设备安装与调试</w:t>
                  </w:r>
                </w:p>
              </w:tc>
              <w:tc>
                <w:tcPr>
                  <w:tcW w:w="2880" w:type="dxa"/>
                </w:tcPr>
                <w:p>
                  <w:pPr>
                    <w:widowControl/>
                    <w:snapToGrid w:val="0"/>
                    <w:spacing w:line="380" w:lineRule="exact"/>
                    <w:rPr>
                      <w:rFonts w:ascii="楷体" w:hAnsi="楷体" w:eastAsia="宋体" w:cs="楷体"/>
                      <w:bCs/>
                      <w:color w:val="000000"/>
                      <w:kern w:val="0"/>
                      <w:szCs w:val="21"/>
                      <w:highlight w:val="none"/>
                    </w:rPr>
                  </w:pPr>
                  <w:r>
                    <w:rPr>
                      <w:rFonts w:hint="eastAsia" w:ascii="楷体" w:hAnsi="楷体" w:eastAsia="宋体" w:cs="楷体"/>
                      <w:bCs/>
                      <w:color w:val="000000"/>
                      <w:kern w:val="0"/>
                      <w:szCs w:val="21"/>
                      <w:highlight w:val="none"/>
                    </w:rPr>
                    <w:t>1．二、三层交换技术；</w:t>
                  </w:r>
                </w:p>
                <w:p>
                  <w:pPr>
                    <w:widowControl/>
                    <w:snapToGrid w:val="0"/>
                    <w:spacing w:line="380" w:lineRule="exact"/>
                    <w:rPr>
                      <w:rFonts w:ascii="楷体" w:hAnsi="楷体" w:eastAsia="宋体" w:cs="楷体"/>
                      <w:bCs/>
                      <w:color w:val="000000"/>
                      <w:kern w:val="0"/>
                      <w:szCs w:val="21"/>
                      <w:highlight w:val="none"/>
                    </w:rPr>
                  </w:pPr>
                  <w:r>
                    <w:rPr>
                      <w:rFonts w:hint="eastAsia" w:ascii="楷体" w:hAnsi="楷体" w:eastAsia="宋体" w:cs="楷体"/>
                      <w:bCs/>
                      <w:color w:val="000000"/>
                      <w:kern w:val="0"/>
                      <w:szCs w:val="21"/>
                      <w:highlight w:val="none"/>
                    </w:rPr>
                    <w:t>2．安装和配置软件防火墙；</w:t>
                  </w:r>
                </w:p>
                <w:p>
                  <w:pPr>
                    <w:widowControl/>
                    <w:snapToGrid w:val="0"/>
                    <w:spacing w:line="380" w:lineRule="exact"/>
                    <w:rPr>
                      <w:rFonts w:ascii="楷体" w:hAnsi="楷体" w:eastAsia="宋体" w:cs="楷体"/>
                      <w:bCs/>
                      <w:color w:val="000000"/>
                      <w:kern w:val="0"/>
                      <w:szCs w:val="21"/>
                      <w:highlight w:val="none"/>
                    </w:rPr>
                  </w:pPr>
                  <w:r>
                    <w:rPr>
                      <w:rFonts w:hint="eastAsia" w:ascii="楷体" w:hAnsi="楷体" w:eastAsia="宋体" w:cs="楷体"/>
                      <w:bCs/>
                      <w:color w:val="000000"/>
                      <w:kern w:val="0"/>
                      <w:szCs w:val="21"/>
                      <w:highlight w:val="none"/>
                    </w:rPr>
                    <w:t>3．</w:t>
                  </w:r>
                  <w:r>
                    <w:rPr>
                      <w:rFonts w:hint="eastAsia" w:ascii="楷体" w:hAnsi="楷体" w:eastAsia="宋体" w:cs="Times New Roman"/>
                      <w:color w:val="000000"/>
                      <w:szCs w:val="21"/>
                      <w:highlight w:val="none"/>
                    </w:rPr>
                    <w:t>使用和操作硬件防火墙</w:t>
                  </w:r>
                  <w:r>
                    <w:rPr>
                      <w:rFonts w:hint="eastAsia" w:ascii="楷体" w:hAnsi="楷体" w:eastAsia="宋体" w:cs="楷体"/>
                      <w:bCs/>
                      <w:color w:val="000000"/>
                      <w:kern w:val="0"/>
                      <w:szCs w:val="21"/>
                      <w:highlight w:val="none"/>
                    </w:rPr>
                    <w:t>；</w:t>
                  </w:r>
                </w:p>
                <w:p>
                  <w:pPr>
                    <w:widowControl/>
                    <w:snapToGrid w:val="0"/>
                    <w:spacing w:line="380" w:lineRule="exact"/>
                    <w:rPr>
                      <w:rFonts w:ascii="楷体" w:hAnsi="楷体" w:eastAsia="宋体" w:cs="楷体"/>
                      <w:bCs/>
                      <w:color w:val="000000"/>
                      <w:kern w:val="0"/>
                      <w:szCs w:val="21"/>
                      <w:highlight w:val="none"/>
                    </w:rPr>
                  </w:pPr>
                  <w:r>
                    <w:rPr>
                      <w:rFonts w:hint="eastAsia" w:ascii="楷体" w:hAnsi="楷体" w:eastAsia="宋体" w:cs="楷体"/>
                      <w:bCs/>
                      <w:color w:val="000000"/>
                      <w:kern w:val="0"/>
                      <w:szCs w:val="21"/>
                      <w:highlight w:val="none"/>
                    </w:rPr>
                    <w:t>4.在受到网络攻击时能及时恢复网络的连通；</w:t>
                  </w:r>
                </w:p>
                <w:p>
                  <w:pPr>
                    <w:widowControl/>
                    <w:snapToGrid w:val="0"/>
                    <w:spacing w:line="380" w:lineRule="exact"/>
                    <w:rPr>
                      <w:rFonts w:ascii="楷体" w:hAnsi="楷体" w:eastAsia="宋体" w:cs="楷体"/>
                      <w:bCs/>
                      <w:color w:val="000000"/>
                      <w:kern w:val="0"/>
                      <w:szCs w:val="21"/>
                      <w:highlight w:val="none"/>
                    </w:rPr>
                  </w:pPr>
                  <w:r>
                    <w:rPr>
                      <w:rFonts w:hint="eastAsia" w:ascii="楷体" w:hAnsi="楷体" w:eastAsia="宋体" w:cs="楷体"/>
                      <w:bCs/>
                      <w:color w:val="000000"/>
                      <w:kern w:val="0"/>
                      <w:szCs w:val="21"/>
                      <w:highlight w:val="none"/>
                    </w:rPr>
                    <w:t>5.实现虚拟局域网，VLAN间通信、路由及访问控制；</w:t>
                  </w:r>
                </w:p>
                <w:p>
                  <w:pPr>
                    <w:widowControl/>
                    <w:snapToGrid w:val="0"/>
                    <w:spacing w:line="380" w:lineRule="exact"/>
                    <w:rPr>
                      <w:rFonts w:ascii="楷体" w:hAnsi="楷体" w:eastAsia="宋体" w:cs="楷体"/>
                      <w:bCs/>
                      <w:color w:val="000000"/>
                      <w:kern w:val="0"/>
                      <w:szCs w:val="21"/>
                      <w:highlight w:val="none"/>
                    </w:rPr>
                  </w:pPr>
                  <w:r>
                    <w:rPr>
                      <w:rFonts w:hint="eastAsia" w:ascii="楷体" w:hAnsi="楷体" w:eastAsia="宋体" w:cs="楷体"/>
                      <w:bCs/>
                      <w:color w:val="000000"/>
                      <w:kern w:val="0"/>
                      <w:szCs w:val="21"/>
                      <w:highlight w:val="none"/>
                    </w:rPr>
                    <w:t>6.实现多层交换。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55" w:type="dxa"/>
                  <w:vAlign w:val="center"/>
                </w:tcPr>
                <w:p>
                  <w:pPr>
                    <w:widowControl/>
                    <w:snapToGrid w:val="0"/>
                    <w:spacing w:line="380" w:lineRule="exact"/>
                    <w:rPr>
                      <w:rFonts w:ascii="楷体" w:hAnsi="楷体" w:eastAsia="宋体" w:cs="楷体"/>
                      <w:bCs/>
                      <w:color w:val="000000"/>
                      <w:kern w:val="0"/>
                      <w:szCs w:val="21"/>
                      <w:highlight w:val="none"/>
                    </w:rPr>
                  </w:pPr>
                  <w:r>
                    <w:rPr>
                      <w:rFonts w:hint="eastAsia" w:ascii="楷体" w:hAnsi="楷体" w:eastAsia="宋体" w:cs="Times New Roman"/>
                      <w:color w:val="000000"/>
                      <w:kern w:val="0"/>
                      <w:szCs w:val="21"/>
                      <w:highlight w:val="none"/>
                    </w:rPr>
                    <w:t>六、企业路由型互联网设备安装与调试</w:t>
                  </w:r>
                </w:p>
              </w:tc>
              <w:tc>
                <w:tcPr>
                  <w:tcW w:w="2880" w:type="dxa"/>
                </w:tcPr>
                <w:p>
                  <w:pPr>
                    <w:widowControl/>
                    <w:snapToGrid w:val="0"/>
                    <w:spacing w:line="380" w:lineRule="exact"/>
                    <w:rPr>
                      <w:rFonts w:ascii="楷体" w:hAnsi="楷体" w:eastAsia="宋体" w:cs="楷体"/>
                      <w:bCs/>
                      <w:color w:val="000000"/>
                      <w:kern w:val="0"/>
                      <w:szCs w:val="21"/>
                      <w:highlight w:val="none"/>
                    </w:rPr>
                  </w:pPr>
                  <w:r>
                    <w:rPr>
                      <w:rFonts w:hint="eastAsia" w:ascii="楷体" w:hAnsi="楷体" w:eastAsia="宋体" w:cs="楷体"/>
                      <w:bCs/>
                      <w:color w:val="000000"/>
                      <w:kern w:val="0"/>
                      <w:szCs w:val="21"/>
                      <w:highlight w:val="none"/>
                    </w:rPr>
                    <w:t>1.路由技术和路由选择原则；</w:t>
                  </w:r>
                </w:p>
                <w:p>
                  <w:pPr>
                    <w:widowControl/>
                    <w:snapToGrid w:val="0"/>
                    <w:spacing w:line="380" w:lineRule="exact"/>
                    <w:rPr>
                      <w:rFonts w:ascii="楷体" w:hAnsi="楷体" w:eastAsia="宋体" w:cs="楷体"/>
                      <w:bCs/>
                      <w:color w:val="000000"/>
                      <w:kern w:val="0"/>
                      <w:szCs w:val="21"/>
                      <w:highlight w:val="none"/>
                    </w:rPr>
                  </w:pPr>
                  <w:r>
                    <w:rPr>
                      <w:rFonts w:hint="eastAsia" w:ascii="楷体" w:hAnsi="楷体" w:eastAsia="宋体" w:cs="楷体"/>
                      <w:bCs/>
                      <w:color w:val="000000"/>
                      <w:kern w:val="0"/>
                      <w:szCs w:val="21"/>
                      <w:highlight w:val="none"/>
                    </w:rPr>
                    <w:t>2.安装和配置RIP协议；</w:t>
                  </w:r>
                </w:p>
                <w:p>
                  <w:pPr>
                    <w:widowControl/>
                    <w:snapToGrid w:val="0"/>
                    <w:spacing w:line="380" w:lineRule="exact"/>
                    <w:rPr>
                      <w:rFonts w:ascii="楷体" w:hAnsi="楷体" w:eastAsia="宋体" w:cs="楷体"/>
                      <w:bCs/>
                      <w:color w:val="000000"/>
                      <w:kern w:val="0"/>
                      <w:szCs w:val="21"/>
                      <w:highlight w:val="none"/>
                    </w:rPr>
                  </w:pPr>
                  <w:r>
                    <w:rPr>
                      <w:rFonts w:hint="eastAsia" w:ascii="楷体" w:hAnsi="楷体" w:eastAsia="宋体" w:cs="楷体"/>
                      <w:bCs/>
                      <w:color w:val="000000"/>
                      <w:kern w:val="0"/>
                      <w:szCs w:val="21"/>
                      <w:highlight w:val="none"/>
                    </w:rPr>
                    <w:t>3.安装和配置OSPF协议；</w:t>
                  </w:r>
                </w:p>
                <w:p>
                  <w:pPr>
                    <w:widowControl/>
                    <w:snapToGrid w:val="0"/>
                    <w:spacing w:line="380" w:lineRule="exact"/>
                    <w:rPr>
                      <w:rFonts w:ascii="楷体" w:hAnsi="楷体" w:eastAsia="宋体" w:cs="楷体"/>
                      <w:bCs/>
                      <w:color w:val="000000"/>
                      <w:kern w:val="0"/>
                      <w:szCs w:val="21"/>
                      <w:highlight w:val="none"/>
                    </w:rPr>
                  </w:pPr>
                  <w:r>
                    <w:rPr>
                      <w:rFonts w:hint="eastAsia" w:ascii="楷体" w:hAnsi="楷体" w:eastAsia="宋体" w:cs="楷体"/>
                      <w:bCs/>
                      <w:color w:val="000000"/>
                      <w:kern w:val="0"/>
                      <w:szCs w:val="21"/>
                      <w:highlight w:val="none"/>
                    </w:rPr>
                    <w:t>4.安装和配置BGP协议；</w:t>
                  </w:r>
                </w:p>
                <w:p>
                  <w:pPr>
                    <w:widowControl/>
                    <w:snapToGrid w:val="0"/>
                    <w:spacing w:line="380" w:lineRule="exact"/>
                    <w:rPr>
                      <w:rFonts w:ascii="楷体" w:hAnsi="楷体" w:eastAsia="宋体" w:cs="楷体"/>
                      <w:bCs/>
                      <w:color w:val="000000"/>
                      <w:kern w:val="0"/>
                      <w:szCs w:val="21"/>
                      <w:highlight w:val="none"/>
                    </w:rPr>
                  </w:pPr>
                  <w:r>
                    <w:rPr>
                      <w:rFonts w:hint="eastAsia" w:ascii="楷体" w:hAnsi="楷体" w:eastAsia="宋体" w:cs="楷体"/>
                      <w:bCs/>
                      <w:color w:val="000000"/>
                      <w:kern w:val="0"/>
                      <w:szCs w:val="21"/>
                      <w:highlight w:val="none"/>
                    </w:rPr>
                    <w:t>5.实现MPLS技术。</w:t>
                  </w:r>
                </w:p>
              </w:tc>
            </w:tr>
          </w:tbl>
          <w:p>
            <w:pPr>
              <w:widowControl/>
              <w:autoSpaceDE w:val="0"/>
              <w:autoSpaceDN w:val="0"/>
              <w:adjustRightInd w:val="0"/>
              <w:ind w:left="300"/>
              <w:jc w:val="left"/>
              <w:rPr>
                <w:rFonts w:ascii="楷体" w:hAnsi="楷体" w:eastAsia="宋体" w:cs="Times New Roman"/>
                <w:color w:val="000000"/>
                <w:szCs w:val="21"/>
                <w:highlight w:val="none"/>
              </w:rPr>
            </w:pPr>
          </w:p>
        </w:tc>
        <w:tc>
          <w:tcPr>
            <w:tcW w:w="4355" w:type="dxa"/>
            <w:gridSpan w:val="4"/>
            <w:tcBorders>
              <w:top w:val="single" w:color="auto" w:sz="4" w:space="0"/>
              <w:bottom w:val="double" w:color="auto" w:sz="4" w:space="0"/>
            </w:tcBorders>
          </w:tcPr>
          <w:p>
            <w:pPr>
              <w:snapToGrid w:val="0"/>
              <w:spacing w:line="380" w:lineRule="exact"/>
              <w:rPr>
                <w:rFonts w:ascii="楷体" w:hAnsi="楷体" w:eastAsia="宋体" w:cs="Times New Roman"/>
                <w:b/>
                <w:bCs/>
                <w:color w:val="000000"/>
                <w:szCs w:val="21"/>
                <w:highlight w:val="none"/>
              </w:rPr>
            </w:pPr>
            <w:r>
              <w:rPr>
                <w:rFonts w:hint="eastAsia" w:ascii="楷体" w:hAnsi="楷体" w:eastAsia="宋体" w:cs="楷体"/>
                <w:b/>
                <w:bCs/>
                <w:color w:val="000000"/>
                <w:szCs w:val="21"/>
                <w:highlight w:val="none"/>
              </w:rPr>
              <w:t>教学方法要求：</w:t>
            </w:r>
          </w:p>
          <w:p>
            <w:pPr>
              <w:widowControl/>
              <w:snapToGrid w:val="0"/>
              <w:spacing w:line="380" w:lineRule="exact"/>
              <w:ind w:firstLine="394" w:firstLineChars="188"/>
              <w:jc w:val="left"/>
              <w:rPr>
                <w:rFonts w:ascii="楷体" w:hAnsi="楷体" w:eastAsia="宋体" w:cs="楷体"/>
                <w:color w:val="000000"/>
                <w:szCs w:val="21"/>
                <w:highlight w:val="none"/>
              </w:rPr>
            </w:pPr>
            <w:r>
              <w:rPr>
                <w:rFonts w:hint="eastAsia" w:ascii="楷体" w:hAnsi="楷体" w:eastAsia="宋体" w:cs="Times New Roman"/>
                <w:color w:val="000000"/>
                <w:szCs w:val="21"/>
                <w:highlight w:val="none"/>
              </w:rPr>
              <w:t>课程教学以项目教学法和任务驱动法为主，以实际案例和网络实训中心为载体，培养学生</w:t>
            </w:r>
            <w:r>
              <w:rPr>
                <w:rFonts w:hint="eastAsia" w:ascii="楷体" w:hAnsi="楷体" w:eastAsia="宋体" w:cs="Times New Roman"/>
                <w:color w:val="000000"/>
                <w:kern w:val="0"/>
                <w:szCs w:val="21"/>
                <w:highlight w:val="none"/>
              </w:rPr>
              <w:t>系统集成</w:t>
            </w:r>
            <w:r>
              <w:rPr>
                <w:rFonts w:hint="eastAsia" w:ascii="楷体" w:hAnsi="楷体" w:eastAsia="宋体" w:cs="Times New Roman"/>
                <w:color w:val="000000"/>
                <w:szCs w:val="21"/>
                <w:highlight w:val="none"/>
              </w:rPr>
              <w:t>方案设计与优化的能力、设备</w:t>
            </w:r>
            <w:r>
              <w:rPr>
                <w:rFonts w:hint="eastAsia" w:ascii="楷体" w:hAnsi="楷体" w:eastAsia="宋体" w:cs="Times New Roman"/>
                <w:color w:val="000000"/>
                <w:kern w:val="0"/>
                <w:szCs w:val="21"/>
                <w:highlight w:val="none"/>
              </w:rPr>
              <w:t>安装与调试</w:t>
            </w:r>
            <w:r>
              <w:rPr>
                <w:rFonts w:hint="eastAsia" w:ascii="楷体" w:hAnsi="楷体" w:eastAsia="宋体" w:cs="Times New Roman"/>
                <w:color w:val="000000"/>
                <w:szCs w:val="21"/>
                <w:highlight w:val="none"/>
              </w:rPr>
              <w:t>能力、</w:t>
            </w:r>
            <w:r>
              <w:rPr>
                <w:rFonts w:hint="eastAsia" w:ascii="楷体" w:hAnsi="楷体" w:eastAsia="宋体" w:cs="楷体"/>
                <w:bCs/>
                <w:color w:val="000000"/>
                <w:kern w:val="0"/>
                <w:szCs w:val="21"/>
                <w:highlight w:val="none"/>
              </w:rPr>
              <w:t>设备故障排除</w:t>
            </w:r>
            <w:r>
              <w:rPr>
                <w:rFonts w:hint="eastAsia" w:ascii="楷体" w:hAnsi="楷体" w:eastAsia="宋体" w:cs="Times New Roman"/>
                <w:color w:val="000000"/>
                <w:szCs w:val="21"/>
                <w:highlight w:val="none"/>
              </w:rPr>
              <w:t>与维护能力、制订设备配置与管理方案能力、</w:t>
            </w:r>
            <w:r>
              <w:rPr>
                <w:rFonts w:hint="eastAsia" w:ascii="楷体" w:hAnsi="楷体" w:eastAsia="宋体" w:cs="Times New Roman"/>
                <w:color w:val="000000"/>
                <w:kern w:val="0"/>
                <w:szCs w:val="21"/>
                <w:highlight w:val="none"/>
              </w:rPr>
              <w:t>网络系统集成</w:t>
            </w:r>
            <w:r>
              <w:rPr>
                <w:rFonts w:hint="eastAsia" w:ascii="楷体" w:hAnsi="楷体" w:eastAsia="宋体" w:cs="Times New Roman"/>
                <w:color w:val="000000"/>
                <w:szCs w:val="21"/>
                <w:highlight w:val="none"/>
              </w:rPr>
              <w:t>案例分析能力、形成制定科学合理的工作计划并组织实施的能力、工作资料查阅与工作文件编制能力、发现问题、分析问题及解决问题的能力和创新的能力和职业素养。</w:t>
            </w:r>
            <w:r>
              <w:rPr>
                <w:rFonts w:hint="eastAsia" w:ascii="宋体" w:eastAsia="宋体" w:cs="宋体"/>
                <w:color w:val="000000"/>
                <w:kern w:val="0"/>
                <w:szCs w:val="21"/>
                <w:highlight w:val="none"/>
              </w:rPr>
              <w:t>教师应充分挖掘该课程领域知识点融入社会主义核心价值观、将思想政治教育融入人才培养全过程，塑造具有严谨、精益求精的工匠品质。</w:t>
            </w:r>
          </w:p>
          <w:p>
            <w:pPr>
              <w:widowControl/>
              <w:snapToGrid w:val="0"/>
              <w:spacing w:line="380" w:lineRule="exact"/>
              <w:jc w:val="left"/>
              <w:rPr>
                <w:rFonts w:ascii="楷体" w:hAnsi="楷体" w:eastAsia="宋体" w:cs="Times New Roman"/>
                <w:b/>
                <w:bCs/>
                <w:color w:val="000000"/>
                <w:szCs w:val="21"/>
                <w:highlight w:val="none"/>
              </w:rPr>
            </w:pPr>
            <w:r>
              <w:rPr>
                <w:rFonts w:hint="eastAsia" w:ascii="楷体" w:hAnsi="楷体" w:eastAsia="宋体" w:cs="楷体"/>
                <w:b/>
                <w:bCs/>
                <w:color w:val="000000"/>
                <w:szCs w:val="21"/>
                <w:highlight w:val="none"/>
              </w:rPr>
              <w:t>教学场地：</w:t>
            </w:r>
          </w:p>
          <w:p>
            <w:pPr>
              <w:widowControl/>
              <w:snapToGrid w:val="0"/>
              <w:spacing w:line="380" w:lineRule="exact"/>
              <w:jc w:val="left"/>
              <w:rPr>
                <w:rFonts w:ascii="楷体" w:hAnsi="楷体" w:eastAsia="宋体" w:cs="楷体"/>
                <w:color w:val="000000"/>
                <w:szCs w:val="21"/>
                <w:highlight w:val="none"/>
              </w:rPr>
            </w:pPr>
            <w:r>
              <w:rPr>
                <w:rFonts w:hint="eastAsia" w:ascii="楷体" w:hAnsi="楷体" w:eastAsia="宋体" w:cs="楷体"/>
                <w:color w:val="000000"/>
                <w:szCs w:val="21"/>
                <w:highlight w:val="none"/>
              </w:rPr>
              <w:t>思泽楼510与506</w:t>
            </w:r>
          </w:p>
          <w:p>
            <w:pPr>
              <w:widowControl/>
              <w:snapToGrid w:val="0"/>
              <w:spacing w:line="380" w:lineRule="exact"/>
              <w:jc w:val="left"/>
              <w:rPr>
                <w:rFonts w:ascii="楷体" w:hAnsi="楷体" w:eastAsia="宋体" w:cs="Times New Roman"/>
                <w:b/>
                <w:bCs/>
                <w:color w:val="000000"/>
                <w:szCs w:val="21"/>
                <w:highlight w:val="none"/>
              </w:rPr>
            </w:pPr>
            <w:r>
              <w:rPr>
                <w:rFonts w:hint="eastAsia" w:ascii="楷体" w:hAnsi="楷体" w:eastAsia="宋体" w:cs="楷体"/>
                <w:b/>
                <w:bCs/>
                <w:color w:val="000000"/>
                <w:szCs w:val="21"/>
                <w:highlight w:val="none"/>
              </w:rPr>
              <w:t>教学材料：</w:t>
            </w:r>
          </w:p>
          <w:p>
            <w:pPr>
              <w:widowControl/>
              <w:spacing w:line="380" w:lineRule="exact"/>
              <w:ind w:right="71" w:rightChars="34"/>
              <w:jc w:val="left"/>
              <w:rPr>
                <w:rFonts w:ascii="楷体" w:hAnsi="楷体" w:eastAsia="宋体" w:cs="Times New Roman"/>
                <w:color w:val="000000"/>
                <w:szCs w:val="21"/>
                <w:highlight w:val="none"/>
              </w:rPr>
            </w:pPr>
            <w:r>
              <w:rPr>
                <w:rFonts w:hint="eastAsia" w:ascii="楷体" w:hAnsi="楷体" w:eastAsia="宋体" w:cs="Times New Roman"/>
                <w:color w:val="000000"/>
                <w:szCs w:val="21"/>
                <w:highlight w:val="none"/>
              </w:rPr>
              <w:t>教材学材：《</w:t>
            </w:r>
            <w:r>
              <w:rPr>
                <w:rFonts w:ascii="楷体" w:hAnsi="楷体" w:eastAsia="宋体" w:cs="Times New Roman"/>
                <w:color w:val="000000"/>
                <w:szCs w:val="21"/>
                <w:highlight w:val="none"/>
              </w:rPr>
              <w:t>网络设备配置与管理</w:t>
            </w:r>
            <w:r>
              <w:rPr>
                <w:rFonts w:hint="eastAsia" w:ascii="楷体" w:hAnsi="楷体" w:eastAsia="宋体" w:cs="Times New Roman"/>
                <w:color w:val="000000"/>
                <w:szCs w:val="21"/>
                <w:highlight w:val="none"/>
              </w:rPr>
              <w:t>》一体化教材</w:t>
            </w:r>
          </w:p>
          <w:p>
            <w:pPr>
              <w:widowControl/>
              <w:snapToGrid w:val="0"/>
              <w:spacing w:line="380" w:lineRule="exact"/>
              <w:jc w:val="left"/>
              <w:rPr>
                <w:rFonts w:ascii="楷体" w:hAnsi="楷体" w:eastAsia="宋体" w:cs="Times New Roman"/>
                <w:color w:val="000000"/>
                <w:szCs w:val="21"/>
                <w:highlight w:val="none"/>
              </w:rPr>
            </w:pPr>
            <w:r>
              <w:rPr>
                <w:rFonts w:hint="eastAsia" w:ascii="楷体" w:hAnsi="楷体" w:eastAsia="宋体" w:cs="Times New Roman"/>
                <w:color w:val="000000"/>
                <w:szCs w:val="21"/>
                <w:highlight w:val="none"/>
              </w:rPr>
              <w:t>工具与材料</w:t>
            </w:r>
            <w:r>
              <w:rPr>
                <w:rFonts w:ascii="楷体" w:hAnsi="楷体" w:eastAsia="宋体" w:cs="Times New Roman"/>
                <w:color w:val="000000"/>
                <w:szCs w:val="21"/>
                <w:highlight w:val="none"/>
              </w:rPr>
              <w:t>：笔记本</w:t>
            </w:r>
            <w:r>
              <w:rPr>
                <w:rFonts w:hint="eastAsia" w:ascii="楷体" w:hAnsi="楷体" w:eastAsia="宋体" w:cs="Times New Roman"/>
                <w:color w:val="000000"/>
                <w:szCs w:val="21"/>
                <w:highlight w:val="none"/>
              </w:rPr>
              <w:t>电脑、</w:t>
            </w:r>
            <w:r>
              <w:rPr>
                <w:rFonts w:ascii="楷体" w:hAnsi="楷体" w:eastAsia="宋体" w:cs="Times New Roman"/>
                <w:color w:val="000000"/>
                <w:szCs w:val="21"/>
                <w:highlight w:val="none"/>
              </w:rPr>
              <w:t>交换机、路由器、</w:t>
            </w:r>
            <w:r>
              <w:rPr>
                <w:rFonts w:hint="eastAsia" w:ascii="楷体" w:hAnsi="楷体" w:eastAsia="宋体" w:cs="Times New Roman"/>
                <w:color w:val="000000"/>
                <w:szCs w:val="21"/>
                <w:highlight w:val="none"/>
              </w:rPr>
              <w:t>机柜，各种网络设备及主流物联网设备的配置使用手册、</w:t>
            </w:r>
            <w:r>
              <w:rPr>
                <w:rFonts w:ascii="楷体" w:hAnsi="楷体" w:eastAsia="宋体" w:cs="Times New Roman"/>
                <w:color w:val="000000"/>
                <w:szCs w:val="21"/>
                <w:highlight w:val="none"/>
              </w:rPr>
              <w:t>工程施工图</w:t>
            </w:r>
            <w:r>
              <w:rPr>
                <w:rFonts w:hint="eastAsia" w:ascii="楷体" w:hAnsi="楷体" w:eastAsia="宋体" w:cs="Times New Roman"/>
                <w:color w:val="000000"/>
                <w:szCs w:val="21"/>
                <w:highlight w:val="none"/>
              </w:rPr>
              <w:t>，网线、</w:t>
            </w:r>
            <w:r>
              <w:rPr>
                <w:rFonts w:ascii="楷体" w:hAnsi="楷体" w:eastAsia="宋体" w:cs="Times New Roman"/>
                <w:color w:val="000000"/>
                <w:szCs w:val="21"/>
                <w:highlight w:val="none"/>
              </w:rPr>
              <w:t>测量工具、信息模块、</w:t>
            </w:r>
            <w:r>
              <w:rPr>
                <w:rFonts w:hint="eastAsia" w:ascii="楷体" w:hAnsi="楷体" w:eastAsia="宋体" w:cs="Times New Roman"/>
                <w:color w:val="000000"/>
                <w:szCs w:val="21"/>
                <w:highlight w:val="none"/>
              </w:rPr>
              <w:t>测线仪、网线钳、</w:t>
            </w:r>
            <w:r>
              <w:rPr>
                <w:rFonts w:ascii="楷体" w:hAnsi="楷体" w:eastAsia="宋体" w:cs="Times New Roman"/>
                <w:color w:val="000000"/>
                <w:szCs w:val="21"/>
                <w:highlight w:val="none"/>
              </w:rPr>
              <w:t>施工工具</w:t>
            </w:r>
            <w:r>
              <w:rPr>
                <w:rFonts w:hint="eastAsia" w:ascii="楷体" w:hAnsi="楷体" w:eastAsia="宋体" w:cs="Times New Roman"/>
                <w:color w:val="000000"/>
                <w:szCs w:val="21"/>
                <w:highlight w:val="none"/>
              </w:rPr>
              <w:t>等。</w:t>
            </w:r>
          </w:p>
          <w:p>
            <w:pPr>
              <w:widowControl/>
              <w:snapToGrid w:val="0"/>
              <w:spacing w:line="380" w:lineRule="exact"/>
              <w:jc w:val="left"/>
              <w:rPr>
                <w:rFonts w:ascii="楷体" w:hAnsi="楷体" w:eastAsia="宋体" w:cs="Times New Roman"/>
                <w:color w:val="000000"/>
                <w:szCs w:val="21"/>
                <w:highlight w:val="none"/>
              </w:rPr>
            </w:pPr>
            <w:r>
              <w:rPr>
                <w:rFonts w:hint="eastAsia" w:ascii="楷体" w:hAnsi="楷体" w:eastAsia="宋体" w:cs="Times New Roman"/>
                <w:color w:val="000000"/>
                <w:szCs w:val="21"/>
                <w:highlight w:val="none"/>
              </w:rPr>
              <w:t xml:space="preserve">教学辅助模拟软件：Cisco Packet Tracer </w:t>
            </w:r>
          </w:p>
          <w:p>
            <w:pPr>
              <w:snapToGrid w:val="0"/>
              <w:spacing w:line="380" w:lineRule="exact"/>
              <w:rPr>
                <w:rFonts w:ascii="楷体" w:hAnsi="楷体" w:eastAsia="宋体" w:cs="Times New Roman"/>
                <w:color w:val="000000"/>
                <w:szCs w:val="21"/>
                <w:highlight w:val="none"/>
              </w:rPr>
            </w:pPr>
            <w:r>
              <w:rPr>
                <w:rFonts w:hint="eastAsia" w:ascii="楷体" w:hAnsi="楷体" w:eastAsia="宋体" w:cs="Times New Roman"/>
                <w:color w:val="000000"/>
                <w:szCs w:val="21"/>
                <w:highlight w:val="none"/>
              </w:rPr>
              <w:t>教学辅助网站：《</w:t>
            </w:r>
            <w:r>
              <w:rPr>
                <w:rFonts w:ascii="楷体" w:hAnsi="楷体" w:eastAsia="宋体" w:cs="Times New Roman"/>
                <w:color w:val="000000"/>
                <w:szCs w:val="21"/>
                <w:highlight w:val="none"/>
              </w:rPr>
              <w:t>网络设备配置与管理</w:t>
            </w:r>
            <w:r>
              <w:rPr>
                <w:rFonts w:hint="eastAsia" w:ascii="楷体" w:hAnsi="楷体" w:eastAsia="宋体" w:cs="Times New Roman"/>
                <w:color w:val="000000"/>
                <w:szCs w:val="21"/>
                <w:highlight w:val="none"/>
              </w:rPr>
              <w:t>》课程网址：</w:t>
            </w:r>
          </w:p>
          <w:p>
            <w:pPr>
              <w:widowControl/>
              <w:snapToGrid w:val="0"/>
              <w:spacing w:line="380" w:lineRule="exact"/>
              <w:jc w:val="left"/>
              <w:rPr>
                <w:rFonts w:ascii="楷体" w:hAnsi="楷体" w:eastAsia="宋体" w:cs="Times New Roman"/>
                <w:color w:val="000000"/>
                <w:szCs w:val="21"/>
                <w:highlight w:val="none"/>
              </w:rPr>
            </w:pPr>
            <w:r>
              <w:rPr>
                <w:rFonts w:ascii="楷体" w:hAnsi="楷体" w:eastAsia="宋体" w:cs="Times New Roman"/>
                <w:color w:val="000000"/>
                <w:szCs w:val="21"/>
                <w:highlight w:val="none"/>
              </w:rPr>
              <w:t>http://jpkc.jxgmxy.com/skills/solver/classView.do?classKey=1144852</w:t>
            </w:r>
          </w:p>
        </w:tc>
      </w:tr>
    </w:tbl>
    <w:p>
      <w:pPr>
        <w:spacing w:line="360" w:lineRule="exact"/>
        <w:rPr>
          <w:rFonts w:ascii="宋体" w:hAnsi="宋体" w:eastAsia="宋体"/>
          <w:highlight w:val="none"/>
        </w:rPr>
      </w:pPr>
    </w:p>
    <w:p>
      <w:pPr>
        <w:ind w:firstLine="420" w:firstLineChars="200"/>
        <w:rPr>
          <w:rFonts w:ascii="宋体" w:hAnsi="宋体" w:eastAsia="宋体"/>
          <w:highlight w:val="none"/>
        </w:rPr>
      </w:pPr>
      <w:r>
        <w:rPr>
          <w:rFonts w:hint="eastAsia" w:ascii="宋体" w:hAnsi="宋体" w:eastAsia="宋体"/>
          <w:highlight w:val="none"/>
        </w:rPr>
        <w:t>4. 结合专业教学的特色创新创业课程</w:t>
      </w:r>
    </w:p>
    <w:p>
      <w:pPr>
        <w:spacing w:line="360" w:lineRule="exact"/>
        <w:ind w:firstLine="420" w:firstLineChars="200"/>
        <w:rPr>
          <w:rFonts w:ascii="仿宋" w:hAnsi="楷体" w:eastAsia="仿宋" w:cs="Times New Roman"/>
          <w:color w:val="000000"/>
          <w:highlight w:val="none"/>
        </w:rPr>
      </w:pPr>
      <w:r>
        <w:rPr>
          <w:rFonts w:hint="eastAsia" w:ascii="仿宋" w:hAnsi="楷体" w:eastAsia="仿宋" w:cs="楷体"/>
          <w:color w:val="000000"/>
          <w:szCs w:val="21"/>
          <w:highlight w:val="none"/>
        </w:rPr>
        <w:t>（1）</w:t>
      </w:r>
      <w:r>
        <w:rPr>
          <w:rFonts w:hint="eastAsia" w:ascii="仿宋" w:hAnsi="楷体" w:eastAsia="仿宋" w:cs="Times New Roman"/>
          <w:color w:val="000000"/>
          <w:highlight w:val="none"/>
        </w:rPr>
        <w:t>WEB开发及安全管理技术（C5</w:t>
      </w:r>
      <w:r>
        <w:rPr>
          <w:rFonts w:ascii="仿宋" w:hAnsi="楷体" w:eastAsia="仿宋" w:cs="Times New Roman"/>
          <w:color w:val="000000"/>
          <w:highlight w:val="none"/>
        </w:rPr>
        <w:t>102111220</w:t>
      </w:r>
      <w:r>
        <w:rPr>
          <w:rFonts w:hint="eastAsia" w:ascii="仿宋" w:hAnsi="楷体" w:eastAsia="仿宋" w:cs="Times New Roman"/>
          <w:color w:val="000000"/>
          <w:highlight w:val="none"/>
        </w:rPr>
        <w:t>） （136学时）</w:t>
      </w:r>
    </w:p>
    <w:p>
      <w:pPr>
        <w:spacing w:line="360" w:lineRule="exact"/>
        <w:ind w:firstLine="420" w:firstLineChars="200"/>
        <w:rPr>
          <w:rFonts w:ascii="仿宋" w:hAnsi="楷体" w:eastAsia="仿宋" w:cs="Times New Roman"/>
          <w:color w:val="000000"/>
          <w:highlight w:val="none"/>
        </w:rPr>
      </w:pPr>
      <w:r>
        <w:rPr>
          <w:rFonts w:hint="eastAsia" w:ascii="宋体" w:hAnsi="宋体" w:eastAsia="宋体" w:cs="宋体"/>
          <w:color w:val="000000"/>
          <w:highlight w:val="none"/>
        </w:rPr>
        <w:t>本课程为创新创业教育课程群之专业重点建设课程，根据课程具体情况，列入特色分立课程或互选拓展课程，坚持工学结合、知行合一，注重专业教育与生产劳动、社会实践、创新创业教育相结合，强化教育教学实践性和职业性，本课程主要学习如何结合或利用专业所学知识和技能进行创新创业，包括基于专业的技术创新、产品创新、品牌创新、服务创新、商业模式创新、管理创新、组织创新、市场创新、渠道创新等基础知识与基本技能。通过课程学习，进一步培养与增强学生的创新精神、创业意识和创新创业能力，促进学生的学以致用、用以促学、学用相长等能力提升。</w:t>
      </w:r>
      <w:r>
        <w:rPr>
          <w:rFonts w:hint="eastAsia" w:ascii="宋体" w:hAnsi="宋体" w:eastAsia="宋体" w:cs="Times New Roman"/>
          <w:color w:val="000000"/>
          <w:highlight w:val="none"/>
        </w:rPr>
        <w:t>本课程主要讲授网站建设基础、备网站搭建应用、网站安全运维，</w:t>
      </w:r>
      <w:r>
        <w:rPr>
          <w:rFonts w:hint="eastAsia" w:ascii="宋体" w:hAnsi="宋体" w:eastAsia="宋体" w:cs="宋体"/>
          <w:color w:val="000000"/>
          <w:szCs w:val="21"/>
          <w:highlight w:val="none"/>
        </w:rPr>
        <w:t>并通过以上技能的学习培养学生的工匠精神</w:t>
      </w:r>
      <w:r>
        <w:rPr>
          <w:rFonts w:hint="eastAsia" w:ascii="宋体" w:hAnsi="宋体" w:eastAsia="宋体" w:cs="Times New Roman"/>
          <w:color w:val="000000"/>
          <w:highlight w:val="none"/>
        </w:rPr>
        <w:t>。学生通过该课程的学习，掌握至少一种语言的应用开发，具备网站搭建应用能力、熟悉网站相关安全配置操作，如 Apache，Tomcat，IIS 等；掌握 Web 应用防火墙等设备的安装，配置和基本应用。教师采用“任务驱动”教学方法，进行“任务引领式”教学，让学生通过执行完整的任务来锻炼综合职业能力，改变教师本位观念，让学生充分发挥主观能动性。各任务的完成通过“案例展示、任务分析、知识讲解、操作示范、课堂模仿、课后实践、问题解析、归纳总结”等步骤进行。</w:t>
      </w:r>
    </w:p>
    <w:p>
      <w:pPr>
        <w:spacing w:line="360" w:lineRule="exact"/>
        <w:ind w:firstLine="420" w:firstLineChars="200"/>
        <w:rPr>
          <w:rFonts w:ascii="楷体" w:hAnsi="楷体" w:eastAsia="宋体" w:cs="楷体"/>
          <w:color w:val="000000"/>
          <w:szCs w:val="21"/>
          <w:highlight w:val="none"/>
        </w:rPr>
      </w:pPr>
      <w:r>
        <w:rPr>
          <w:rFonts w:hint="eastAsia" w:ascii="楷体" w:hAnsi="楷体" w:eastAsia="宋体" w:cs="楷体"/>
          <w:color w:val="000000"/>
          <w:szCs w:val="21"/>
          <w:highlight w:val="none"/>
        </w:rPr>
        <w:t>本课程作为一门创新创业课程，在对知识点讲解的同时，引导学生自己设计出动态页面或者手机APP,也可以以团队的形式共同设计开发。课程结束要以大作业的形式上交个人作品或者团体作品，对于优秀的设计，将重点支持和推广。</w:t>
      </w:r>
    </w:p>
    <w:p>
      <w:pPr>
        <w:spacing w:before="156" w:beforeLines="50" w:line="360" w:lineRule="exact"/>
        <w:ind w:firstLine="482" w:firstLineChars="200"/>
        <w:rPr>
          <w:rFonts w:ascii="宋体" w:hAnsi="宋体" w:eastAsia="宋体"/>
          <w:b/>
          <w:bCs/>
          <w:sz w:val="24"/>
          <w:highlight w:val="none"/>
        </w:rPr>
      </w:pPr>
      <w:r>
        <w:rPr>
          <w:rFonts w:hint="eastAsia" w:ascii="宋体" w:hAnsi="宋体" w:eastAsia="宋体"/>
          <w:b/>
          <w:bCs/>
          <w:sz w:val="24"/>
          <w:highlight w:val="none"/>
        </w:rPr>
        <w:t>七、教学进程安排</w:t>
      </w:r>
    </w:p>
    <w:p>
      <w:pPr>
        <w:spacing w:line="360" w:lineRule="exact"/>
        <w:ind w:firstLine="420" w:firstLineChars="200"/>
        <w:rPr>
          <w:rFonts w:ascii="宋体" w:hAnsi="宋体" w:eastAsia="宋体"/>
          <w:highlight w:val="none"/>
        </w:rPr>
      </w:pPr>
      <w:r>
        <w:rPr>
          <w:rFonts w:hint="eastAsia" w:ascii="宋体" w:hAnsi="宋体" w:eastAsia="宋体"/>
          <w:highlight w:val="none"/>
        </w:rPr>
        <w:t>（一）总时间分配表</w:t>
      </w: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40"/>
        <w:gridCol w:w="657"/>
        <w:gridCol w:w="667"/>
        <w:gridCol w:w="622"/>
        <w:gridCol w:w="627"/>
        <w:gridCol w:w="548"/>
        <w:gridCol w:w="628"/>
        <w:gridCol w:w="514"/>
        <w:gridCol w:w="1057"/>
        <w:gridCol w:w="628"/>
        <w:gridCol w:w="462"/>
        <w:gridCol w:w="6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学</w:t>
            </w:r>
          </w:p>
          <w:p>
            <w:pPr>
              <w:spacing w:line="240" w:lineRule="exact"/>
              <w:jc w:val="center"/>
              <w:rPr>
                <w:rFonts w:ascii="宋体" w:hAnsi="宋体" w:eastAsia="宋体"/>
                <w:sz w:val="18"/>
                <w:szCs w:val="18"/>
                <w:highlight w:val="none"/>
              </w:rPr>
            </w:pPr>
          </w:p>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年</w:t>
            </w:r>
          </w:p>
        </w:tc>
        <w:tc>
          <w:tcPr>
            <w:tcW w:w="657"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学</w:t>
            </w:r>
          </w:p>
          <w:p>
            <w:pPr>
              <w:spacing w:line="240" w:lineRule="exact"/>
              <w:jc w:val="center"/>
              <w:rPr>
                <w:rFonts w:ascii="宋体" w:hAnsi="宋体" w:eastAsia="宋体"/>
                <w:sz w:val="18"/>
                <w:szCs w:val="18"/>
                <w:highlight w:val="none"/>
              </w:rPr>
            </w:pPr>
          </w:p>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期</w:t>
            </w:r>
          </w:p>
        </w:tc>
        <w:tc>
          <w:tcPr>
            <w:tcW w:w="667"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总</w:t>
            </w:r>
          </w:p>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周</w:t>
            </w:r>
          </w:p>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数</w:t>
            </w:r>
          </w:p>
        </w:tc>
        <w:tc>
          <w:tcPr>
            <w:tcW w:w="1249" w:type="dxa"/>
            <w:gridSpan w:val="2"/>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其  中</w:t>
            </w:r>
          </w:p>
        </w:tc>
        <w:tc>
          <w:tcPr>
            <w:tcW w:w="1690" w:type="dxa"/>
            <w:gridSpan w:val="3"/>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教    学</w:t>
            </w:r>
          </w:p>
        </w:tc>
        <w:tc>
          <w:tcPr>
            <w:tcW w:w="1057"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顶岗实习教育</w:t>
            </w:r>
          </w:p>
        </w:tc>
        <w:tc>
          <w:tcPr>
            <w:tcW w:w="628"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军训</w:t>
            </w:r>
          </w:p>
        </w:tc>
        <w:tc>
          <w:tcPr>
            <w:tcW w:w="462"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毕</w:t>
            </w:r>
          </w:p>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业</w:t>
            </w:r>
          </w:p>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教</w:t>
            </w:r>
          </w:p>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育</w:t>
            </w:r>
          </w:p>
        </w:tc>
        <w:tc>
          <w:tcPr>
            <w:tcW w:w="609"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机</w:t>
            </w:r>
          </w:p>
          <w:p>
            <w:pPr>
              <w:spacing w:line="240" w:lineRule="exact"/>
              <w:jc w:val="center"/>
              <w:rPr>
                <w:rFonts w:ascii="宋体" w:hAnsi="宋体" w:eastAsia="宋体"/>
                <w:sz w:val="18"/>
                <w:szCs w:val="18"/>
                <w:highlight w:val="none"/>
              </w:rPr>
            </w:pPr>
          </w:p>
          <w:p>
            <w:pPr>
              <w:spacing w:line="240" w:lineRule="exact"/>
              <w:jc w:val="center"/>
              <w:rPr>
                <w:rFonts w:ascii="宋体" w:hAnsi="宋体" w:eastAsia="宋体"/>
                <w:sz w:val="18"/>
                <w:szCs w:val="18"/>
                <w:highlight w:val="none"/>
              </w:rPr>
            </w:pPr>
          </w:p>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highlight w:val="none"/>
              </w:rPr>
            </w:pPr>
          </w:p>
        </w:tc>
        <w:tc>
          <w:tcPr>
            <w:tcW w:w="657" w:type="dxa"/>
            <w:vMerge w:val="continue"/>
            <w:vAlign w:val="center"/>
          </w:tcPr>
          <w:p>
            <w:pPr>
              <w:spacing w:line="240" w:lineRule="exact"/>
              <w:jc w:val="center"/>
              <w:rPr>
                <w:rFonts w:ascii="宋体" w:hAnsi="宋体" w:eastAsia="宋体"/>
                <w:sz w:val="18"/>
                <w:szCs w:val="18"/>
                <w:highlight w:val="none"/>
              </w:rPr>
            </w:pPr>
          </w:p>
        </w:tc>
        <w:tc>
          <w:tcPr>
            <w:tcW w:w="667" w:type="dxa"/>
            <w:vMerge w:val="continue"/>
            <w:vAlign w:val="center"/>
          </w:tcPr>
          <w:p>
            <w:pPr>
              <w:spacing w:line="240" w:lineRule="exact"/>
              <w:jc w:val="center"/>
              <w:rPr>
                <w:rFonts w:ascii="宋体" w:hAnsi="宋体" w:eastAsia="宋体"/>
                <w:sz w:val="18"/>
                <w:szCs w:val="18"/>
                <w:highlight w:val="none"/>
              </w:rPr>
            </w:pPr>
          </w:p>
        </w:tc>
        <w:tc>
          <w:tcPr>
            <w:tcW w:w="622"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学期</w:t>
            </w:r>
          </w:p>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周数</w:t>
            </w:r>
          </w:p>
        </w:tc>
        <w:tc>
          <w:tcPr>
            <w:tcW w:w="627" w:type="dxa"/>
            <w:vAlign w:val="center"/>
          </w:tcPr>
          <w:p>
            <w:pPr>
              <w:pStyle w:val="25"/>
              <w:widowControl w:val="0"/>
              <w:pBdr>
                <w:left w:val="none" w:color="auto" w:sz="0" w:space="0"/>
                <w:right w:val="none" w:color="auto" w:sz="0" w:space="0"/>
              </w:pBdr>
              <w:spacing w:before="0" w:beforeAutospacing="0" w:after="0" w:afterAutospacing="0" w:line="240" w:lineRule="exact"/>
              <w:textAlignment w:val="auto"/>
              <w:rPr>
                <w:rFonts w:ascii="宋体" w:hAnsi="宋体" w:eastAsia="宋体"/>
                <w:spacing w:val="-20"/>
                <w:kern w:val="2"/>
                <w:sz w:val="18"/>
                <w:szCs w:val="18"/>
                <w:highlight w:val="none"/>
              </w:rPr>
            </w:pPr>
            <w:r>
              <w:rPr>
                <w:rFonts w:hint="eastAsia" w:ascii="宋体" w:hAnsi="宋体" w:eastAsia="宋体"/>
                <w:spacing w:val="-20"/>
                <w:kern w:val="2"/>
                <w:sz w:val="18"/>
                <w:szCs w:val="18"/>
                <w:highlight w:val="none"/>
              </w:rPr>
              <w:t>寒暑假</w:t>
            </w:r>
          </w:p>
        </w:tc>
        <w:tc>
          <w:tcPr>
            <w:tcW w:w="54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课内教学</w:t>
            </w:r>
          </w:p>
        </w:tc>
        <w:tc>
          <w:tcPr>
            <w:tcW w:w="62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考试</w:t>
            </w:r>
          </w:p>
        </w:tc>
        <w:tc>
          <w:tcPr>
            <w:tcW w:w="514"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集中实训</w:t>
            </w:r>
          </w:p>
        </w:tc>
        <w:tc>
          <w:tcPr>
            <w:tcW w:w="1057" w:type="dxa"/>
            <w:vMerge w:val="continue"/>
            <w:vAlign w:val="center"/>
          </w:tcPr>
          <w:p>
            <w:pPr>
              <w:spacing w:line="240" w:lineRule="exact"/>
              <w:jc w:val="center"/>
              <w:rPr>
                <w:rFonts w:ascii="宋体" w:hAnsi="宋体" w:eastAsia="宋体"/>
                <w:sz w:val="18"/>
                <w:szCs w:val="18"/>
                <w:highlight w:val="none"/>
              </w:rPr>
            </w:pPr>
          </w:p>
        </w:tc>
        <w:tc>
          <w:tcPr>
            <w:tcW w:w="628" w:type="dxa"/>
            <w:vMerge w:val="continue"/>
            <w:vAlign w:val="center"/>
          </w:tcPr>
          <w:p>
            <w:pPr>
              <w:spacing w:line="240" w:lineRule="exact"/>
              <w:jc w:val="center"/>
              <w:rPr>
                <w:rFonts w:ascii="宋体" w:hAnsi="宋体" w:eastAsia="宋体"/>
                <w:sz w:val="18"/>
                <w:szCs w:val="18"/>
                <w:highlight w:val="none"/>
              </w:rPr>
            </w:pPr>
          </w:p>
        </w:tc>
        <w:tc>
          <w:tcPr>
            <w:tcW w:w="462" w:type="dxa"/>
            <w:vMerge w:val="continue"/>
            <w:vAlign w:val="center"/>
          </w:tcPr>
          <w:p>
            <w:pPr>
              <w:spacing w:line="240" w:lineRule="exact"/>
              <w:jc w:val="center"/>
              <w:rPr>
                <w:rFonts w:ascii="宋体" w:hAnsi="宋体" w:eastAsia="宋体"/>
                <w:sz w:val="18"/>
                <w:szCs w:val="18"/>
                <w:highlight w:val="none"/>
              </w:rPr>
            </w:pPr>
          </w:p>
        </w:tc>
        <w:tc>
          <w:tcPr>
            <w:tcW w:w="609" w:type="dxa"/>
            <w:vMerge w:val="continue"/>
            <w:vAlign w:val="center"/>
          </w:tcPr>
          <w:p>
            <w:pPr>
              <w:spacing w:line="240" w:lineRule="exact"/>
              <w:jc w:val="center"/>
              <w:rPr>
                <w:rFonts w:ascii="宋体" w:hAnsi="宋体" w:eastAsia="宋体"/>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highlight w:val="none"/>
              </w:rPr>
            </w:pPr>
          </w:p>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一</w:t>
            </w:r>
          </w:p>
        </w:tc>
        <w:tc>
          <w:tcPr>
            <w:tcW w:w="65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Ⅰ</w:t>
            </w:r>
          </w:p>
        </w:tc>
        <w:tc>
          <w:tcPr>
            <w:tcW w:w="667"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52</w:t>
            </w:r>
          </w:p>
        </w:tc>
        <w:tc>
          <w:tcPr>
            <w:tcW w:w="622" w:type="dxa"/>
            <w:vAlign w:val="center"/>
          </w:tcPr>
          <w:p>
            <w:pPr>
              <w:spacing w:line="240" w:lineRule="exact"/>
              <w:jc w:val="center"/>
              <w:rPr>
                <w:rFonts w:ascii="宋体" w:hAnsi="宋体" w:eastAsia="宋体"/>
                <w:sz w:val="18"/>
                <w:szCs w:val="18"/>
                <w:highlight w:val="none"/>
              </w:rPr>
            </w:pPr>
            <w:r>
              <w:rPr>
                <w:rFonts w:ascii="宋体" w:hAnsi="宋体" w:eastAsia="宋体"/>
                <w:sz w:val="18"/>
                <w:szCs w:val="18"/>
                <w:highlight w:val="none"/>
              </w:rPr>
              <w:t>20</w:t>
            </w:r>
          </w:p>
        </w:tc>
        <w:tc>
          <w:tcPr>
            <w:tcW w:w="62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4</w:t>
            </w:r>
          </w:p>
        </w:tc>
        <w:tc>
          <w:tcPr>
            <w:tcW w:w="548" w:type="dxa"/>
            <w:vAlign w:val="center"/>
          </w:tcPr>
          <w:p>
            <w:pPr>
              <w:spacing w:line="240" w:lineRule="exact"/>
              <w:jc w:val="center"/>
              <w:rPr>
                <w:rFonts w:ascii="宋体" w:hAnsi="宋体" w:eastAsia="宋体"/>
                <w:sz w:val="18"/>
                <w:szCs w:val="18"/>
                <w:highlight w:val="none"/>
              </w:rPr>
            </w:pPr>
            <w:r>
              <w:rPr>
                <w:rFonts w:ascii="宋体" w:hAnsi="宋体" w:eastAsia="宋体"/>
                <w:sz w:val="18"/>
                <w:szCs w:val="18"/>
                <w:highlight w:val="none"/>
              </w:rPr>
              <w:t>15</w:t>
            </w:r>
          </w:p>
        </w:tc>
        <w:tc>
          <w:tcPr>
            <w:tcW w:w="62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514" w:type="dxa"/>
            <w:vAlign w:val="center"/>
          </w:tcPr>
          <w:p>
            <w:pPr>
              <w:spacing w:line="240" w:lineRule="exact"/>
              <w:jc w:val="center"/>
              <w:rPr>
                <w:rFonts w:ascii="宋体" w:hAnsi="宋体" w:eastAsia="宋体"/>
                <w:sz w:val="18"/>
                <w:szCs w:val="18"/>
                <w:highlight w:val="none"/>
              </w:rPr>
            </w:pPr>
          </w:p>
        </w:tc>
        <w:tc>
          <w:tcPr>
            <w:tcW w:w="1057" w:type="dxa"/>
            <w:vAlign w:val="center"/>
          </w:tcPr>
          <w:p>
            <w:pPr>
              <w:spacing w:line="240" w:lineRule="exact"/>
              <w:jc w:val="center"/>
              <w:rPr>
                <w:rFonts w:ascii="宋体" w:hAnsi="宋体" w:eastAsia="宋体"/>
                <w:sz w:val="18"/>
                <w:szCs w:val="18"/>
                <w:highlight w:val="none"/>
              </w:rPr>
            </w:pPr>
          </w:p>
        </w:tc>
        <w:tc>
          <w:tcPr>
            <w:tcW w:w="62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462" w:type="dxa"/>
            <w:vAlign w:val="center"/>
          </w:tcPr>
          <w:p>
            <w:pPr>
              <w:spacing w:line="240" w:lineRule="exact"/>
              <w:jc w:val="center"/>
              <w:rPr>
                <w:rFonts w:ascii="宋体" w:hAnsi="宋体" w:eastAsia="宋体"/>
                <w:sz w:val="18"/>
                <w:szCs w:val="18"/>
                <w:highlight w:val="none"/>
              </w:rPr>
            </w:pPr>
          </w:p>
        </w:tc>
        <w:tc>
          <w:tcPr>
            <w:tcW w:w="609"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highlight w:val="none"/>
              </w:rPr>
            </w:pPr>
          </w:p>
        </w:tc>
        <w:tc>
          <w:tcPr>
            <w:tcW w:w="65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Ⅱ</w:t>
            </w:r>
          </w:p>
        </w:tc>
        <w:tc>
          <w:tcPr>
            <w:tcW w:w="667" w:type="dxa"/>
            <w:vMerge w:val="continue"/>
            <w:vAlign w:val="center"/>
          </w:tcPr>
          <w:p>
            <w:pPr>
              <w:spacing w:line="240" w:lineRule="exact"/>
              <w:jc w:val="center"/>
              <w:rPr>
                <w:rFonts w:ascii="宋体" w:hAnsi="宋体" w:eastAsia="宋体"/>
                <w:sz w:val="18"/>
                <w:szCs w:val="18"/>
                <w:highlight w:val="none"/>
              </w:rPr>
            </w:pPr>
          </w:p>
        </w:tc>
        <w:tc>
          <w:tcPr>
            <w:tcW w:w="622"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20</w:t>
            </w:r>
          </w:p>
        </w:tc>
        <w:tc>
          <w:tcPr>
            <w:tcW w:w="62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8</w:t>
            </w:r>
          </w:p>
        </w:tc>
        <w:tc>
          <w:tcPr>
            <w:tcW w:w="54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17</w:t>
            </w:r>
          </w:p>
        </w:tc>
        <w:tc>
          <w:tcPr>
            <w:tcW w:w="62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514" w:type="dxa"/>
            <w:vAlign w:val="center"/>
          </w:tcPr>
          <w:p>
            <w:pPr>
              <w:spacing w:line="240" w:lineRule="exact"/>
              <w:jc w:val="center"/>
              <w:rPr>
                <w:rFonts w:ascii="宋体" w:hAnsi="宋体" w:eastAsia="宋体"/>
                <w:sz w:val="18"/>
                <w:szCs w:val="18"/>
                <w:highlight w:val="none"/>
              </w:rPr>
            </w:pPr>
          </w:p>
        </w:tc>
        <w:tc>
          <w:tcPr>
            <w:tcW w:w="1057" w:type="dxa"/>
            <w:vAlign w:val="center"/>
          </w:tcPr>
          <w:p>
            <w:pPr>
              <w:spacing w:line="240" w:lineRule="exact"/>
              <w:jc w:val="center"/>
              <w:rPr>
                <w:rFonts w:ascii="宋体" w:hAnsi="宋体" w:eastAsia="宋体"/>
                <w:sz w:val="18"/>
                <w:szCs w:val="18"/>
                <w:highlight w:val="none"/>
              </w:rPr>
            </w:pPr>
          </w:p>
        </w:tc>
        <w:tc>
          <w:tcPr>
            <w:tcW w:w="628" w:type="dxa"/>
            <w:vAlign w:val="center"/>
          </w:tcPr>
          <w:p>
            <w:pPr>
              <w:spacing w:line="240" w:lineRule="exact"/>
              <w:jc w:val="center"/>
              <w:rPr>
                <w:rFonts w:ascii="宋体" w:hAnsi="宋体" w:eastAsia="宋体"/>
                <w:sz w:val="18"/>
                <w:szCs w:val="18"/>
                <w:highlight w:val="none"/>
              </w:rPr>
            </w:pPr>
          </w:p>
        </w:tc>
        <w:tc>
          <w:tcPr>
            <w:tcW w:w="462" w:type="dxa"/>
            <w:vAlign w:val="center"/>
          </w:tcPr>
          <w:p>
            <w:pPr>
              <w:spacing w:line="240" w:lineRule="exact"/>
              <w:jc w:val="center"/>
              <w:rPr>
                <w:rFonts w:ascii="宋体" w:hAnsi="宋体" w:eastAsia="宋体"/>
                <w:sz w:val="18"/>
                <w:szCs w:val="18"/>
                <w:highlight w:val="none"/>
              </w:rPr>
            </w:pPr>
          </w:p>
        </w:tc>
        <w:tc>
          <w:tcPr>
            <w:tcW w:w="609"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二</w:t>
            </w:r>
          </w:p>
        </w:tc>
        <w:tc>
          <w:tcPr>
            <w:tcW w:w="65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III</w:t>
            </w:r>
          </w:p>
        </w:tc>
        <w:tc>
          <w:tcPr>
            <w:tcW w:w="667"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52</w:t>
            </w:r>
          </w:p>
        </w:tc>
        <w:tc>
          <w:tcPr>
            <w:tcW w:w="622"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20</w:t>
            </w:r>
          </w:p>
        </w:tc>
        <w:tc>
          <w:tcPr>
            <w:tcW w:w="62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4</w:t>
            </w:r>
          </w:p>
        </w:tc>
        <w:tc>
          <w:tcPr>
            <w:tcW w:w="54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17</w:t>
            </w:r>
          </w:p>
        </w:tc>
        <w:tc>
          <w:tcPr>
            <w:tcW w:w="62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514" w:type="dxa"/>
            <w:vAlign w:val="center"/>
          </w:tcPr>
          <w:p>
            <w:pPr>
              <w:spacing w:line="240" w:lineRule="exact"/>
              <w:jc w:val="center"/>
              <w:rPr>
                <w:rFonts w:ascii="宋体" w:hAnsi="宋体" w:eastAsia="宋体"/>
                <w:sz w:val="18"/>
                <w:szCs w:val="18"/>
                <w:highlight w:val="none"/>
              </w:rPr>
            </w:pPr>
          </w:p>
        </w:tc>
        <w:tc>
          <w:tcPr>
            <w:tcW w:w="1057" w:type="dxa"/>
            <w:vAlign w:val="center"/>
          </w:tcPr>
          <w:p>
            <w:pPr>
              <w:spacing w:line="240" w:lineRule="exact"/>
              <w:jc w:val="center"/>
              <w:rPr>
                <w:rFonts w:ascii="宋体" w:hAnsi="宋体" w:eastAsia="宋体"/>
                <w:sz w:val="18"/>
                <w:szCs w:val="18"/>
                <w:highlight w:val="none"/>
              </w:rPr>
            </w:pPr>
          </w:p>
        </w:tc>
        <w:tc>
          <w:tcPr>
            <w:tcW w:w="628" w:type="dxa"/>
            <w:vAlign w:val="center"/>
          </w:tcPr>
          <w:p>
            <w:pPr>
              <w:spacing w:line="240" w:lineRule="exact"/>
              <w:jc w:val="center"/>
              <w:rPr>
                <w:rFonts w:ascii="宋体" w:hAnsi="宋体" w:eastAsia="宋体"/>
                <w:sz w:val="18"/>
                <w:szCs w:val="18"/>
                <w:highlight w:val="none"/>
              </w:rPr>
            </w:pPr>
          </w:p>
        </w:tc>
        <w:tc>
          <w:tcPr>
            <w:tcW w:w="462" w:type="dxa"/>
            <w:vAlign w:val="center"/>
          </w:tcPr>
          <w:p>
            <w:pPr>
              <w:spacing w:line="240" w:lineRule="exact"/>
              <w:jc w:val="center"/>
              <w:rPr>
                <w:rFonts w:ascii="宋体" w:hAnsi="宋体" w:eastAsia="宋体"/>
                <w:sz w:val="18"/>
                <w:szCs w:val="18"/>
                <w:highlight w:val="none"/>
              </w:rPr>
            </w:pPr>
          </w:p>
        </w:tc>
        <w:tc>
          <w:tcPr>
            <w:tcW w:w="609"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highlight w:val="none"/>
              </w:rPr>
            </w:pPr>
          </w:p>
        </w:tc>
        <w:tc>
          <w:tcPr>
            <w:tcW w:w="65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IV</w:t>
            </w:r>
          </w:p>
        </w:tc>
        <w:tc>
          <w:tcPr>
            <w:tcW w:w="667" w:type="dxa"/>
            <w:vMerge w:val="continue"/>
            <w:vAlign w:val="center"/>
          </w:tcPr>
          <w:p>
            <w:pPr>
              <w:spacing w:line="240" w:lineRule="exact"/>
              <w:jc w:val="center"/>
              <w:rPr>
                <w:rFonts w:ascii="宋体" w:hAnsi="宋体" w:eastAsia="宋体"/>
                <w:sz w:val="18"/>
                <w:szCs w:val="18"/>
                <w:highlight w:val="none"/>
              </w:rPr>
            </w:pPr>
          </w:p>
        </w:tc>
        <w:tc>
          <w:tcPr>
            <w:tcW w:w="622"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20</w:t>
            </w:r>
          </w:p>
        </w:tc>
        <w:tc>
          <w:tcPr>
            <w:tcW w:w="62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8</w:t>
            </w:r>
          </w:p>
        </w:tc>
        <w:tc>
          <w:tcPr>
            <w:tcW w:w="54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17</w:t>
            </w:r>
          </w:p>
        </w:tc>
        <w:tc>
          <w:tcPr>
            <w:tcW w:w="62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514" w:type="dxa"/>
            <w:vAlign w:val="center"/>
          </w:tcPr>
          <w:p>
            <w:pPr>
              <w:spacing w:line="240" w:lineRule="exact"/>
              <w:jc w:val="center"/>
              <w:rPr>
                <w:rFonts w:ascii="宋体" w:hAnsi="宋体" w:eastAsia="宋体"/>
                <w:sz w:val="18"/>
                <w:szCs w:val="18"/>
                <w:highlight w:val="none"/>
              </w:rPr>
            </w:pPr>
          </w:p>
        </w:tc>
        <w:tc>
          <w:tcPr>
            <w:tcW w:w="1057" w:type="dxa"/>
            <w:vAlign w:val="center"/>
          </w:tcPr>
          <w:p>
            <w:pPr>
              <w:spacing w:line="240" w:lineRule="exact"/>
              <w:jc w:val="center"/>
              <w:rPr>
                <w:rFonts w:ascii="宋体" w:hAnsi="宋体" w:eastAsia="宋体"/>
                <w:sz w:val="18"/>
                <w:szCs w:val="18"/>
                <w:highlight w:val="none"/>
              </w:rPr>
            </w:pPr>
          </w:p>
        </w:tc>
        <w:tc>
          <w:tcPr>
            <w:tcW w:w="628" w:type="dxa"/>
            <w:vAlign w:val="center"/>
          </w:tcPr>
          <w:p>
            <w:pPr>
              <w:spacing w:line="240" w:lineRule="exact"/>
              <w:jc w:val="center"/>
              <w:rPr>
                <w:rFonts w:ascii="宋体" w:hAnsi="宋体" w:eastAsia="宋体"/>
                <w:sz w:val="18"/>
                <w:szCs w:val="18"/>
                <w:highlight w:val="none"/>
              </w:rPr>
            </w:pPr>
          </w:p>
        </w:tc>
        <w:tc>
          <w:tcPr>
            <w:tcW w:w="462" w:type="dxa"/>
            <w:vAlign w:val="center"/>
          </w:tcPr>
          <w:p>
            <w:pPr>
              <w:spacing w:line="240" w:lineRule="exact"/>
              <w:jc w:val="center"/>
              <w:rPr>
                <w:rFonts w:ascii="宋体" w:hAnsi="宋体" w:eastAsia="宋体"/>
                <w:sz w:val="18"/>
                <w:szCs w:val="18"/>
                <w:highlight w:val="none"/>
              </w:rPr>
            </w:pPr>
          </w:p>
        </w:tc>
        <w:tc>
          <w:tcPr>
            <w:tcW w:w="609"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三</w:t>
            </w:r>
          </w:p>
        </w:tc>
        <w:tc>
          <w:tcPr>
            <w:tcW w:w="65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V</w:t>
            </w:r>
          </w:p>
        </w:tc>
        <w:tc>
          <w:tcPr>
            <w:tcW w:w="667" w:type="dxa"/>
            <w:vMerge w:val="restart"/>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52</w:t>
            </w:r>
          </w:p>
        </w:tc>
        <w:tc>
          <w:tcPr>
            <w:tcW w:w="622"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20</w:t>
            </w:r>
          </w:p>
        </w:tc>
        <w:tc>
          <w:tcPr>
            <w:tcW w:w="62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4</w:t>
            </w:r>
          </w:p>
        </w:tc>
        <w:tc>
          <w:tcPr>
            <w:tcW w:w="54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16</w:t>
            </w:r>
          </w:p>
        </w:tc>
        <w:tc>
          <w:tcPr>
            <w:tcW w:w="62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w:t>
            </w:r>
          </w:p>
        </w:tc>
        <w:tc>
          <w:tcPr>
            <w:tcW w:w="514" w:type="dxa"/>
            <w:vAlign w:val="center"/>
          </w:tcPr>
          <w:p>
            <w:pPr>
              <w:spacing w:line="240" w:lineRule="exact"/>
              <w:jc w:val="center"/>
              <w:rPr>
                <w:rFonts w:ascii="宋体" w:hAnsi="宋体" w:eastAsia="宋体"/>
                <w:sz w:val="18"/>
                <w:szCs w:val="18"/>
                <w:highlight w:val="none"/>
              </w:rPr>
            </w:pPr>
          </w:p>
        </w:tc>
        <w:tc>
          <w:tcPr>
            <w:tcW w:w="105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628" w:type="dxa"/>
            <w:vAlign w:val="center"/>
          </w:tcPr>
          <w:p>
            <w:pPr>
              <w:spacing w:line="240" w:lineRule="exact"/>
              <w:jc w:val="center"/>
              <w:rPr>
                <w:rFonts w:ascii="宋体" w:hAnsi="宋体" w:eastAsia="宋体"/>
                <w:sz w:val="18"/>
                <w:szCs w:val="18"/>
                <w:highlight w:val="none"/>
              </w:rPr>
            </w:pPr>
          </w:p>
        </w:tc>
        <w:tc>
          <w:tcPr>
            <w:tcW w:w="462" w:type="dxa"/>
            <w:vAlign w:val="center"/>
          </w:tcPr>
          <w:p>
            <w:pPr>
              <w:spacing w:line="240" w:lineRule="exact"/>
              <w:jc w:val="center"/>
              <w:rPr>
                <w:rFonts w:ascii="宋体" w:hAnsi="宋体" w:eastAsia="宋体"/>
                <w:sz w:val="18"/>
                <w:szCs w:val="18"/>
                <w:highlight w:val="none"/>
              </w:rPr>
            </w:pPr>
          </w:p>
        </w:tc>
        <w:tc>
          <w:tcPr>
            <w:tcW w:w="609"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highlight w:val="none"/>
              </w:rPr>
            </w:pPr>
          </w:p>
        </w:tc>
        <w:tc>
          <w:tcPr>
            <w:tcW w:w="65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VI</w:t>
            </w:r>
          </w:p>
        </w:tc>
        <w:tc>
          <w:tcPr>
            <w:tcW w:w="667" w:type="dxa"/>
            <w:vMerge w:val="continue"/>
            <w:vAlign w:val="center"/>
          </w:tcPr>
          <w:p>
            <w:pPr>
              <w:spacing w:line="240" w:lineRule="exact"/>
              <w:jc w:val="center"/>
              <w:rPr>
                <w:rFonts w:ascii="宋体" w:hAnsi="宋体" w:eastAsia="宋体"/>
                <w:sz w:val="18"/>
                <w:szCs w:val="18"/>
                <w:highlight w:val="none"/>
              </w:rPr>
            </w:pPr>
          </w:p>
        </w:tc>
        <w:tc>
          <w:tcPr>
            <w:tcW w:w="622" w:type="dxa"/>
            <w:vAlign w:val="center"/>
          </w:tcPr>
          <w:p>
            <w:pPr>
              <w:spacing w:line="240" w:lineRule="exact"/>
              <w:jc w:val="center"/>
              <w:rPr>
                <w:rFonts w:ascii="宋体" w:hAnsi="宋体" w:eastAsia="宋体"/>
                <w:sz w:val="18"/>
                <w:szCs w:val="18"/>
                <w:highlight w:val="none"/>
              </w:rPr>
            </w:pPr>
            <w:r>
              <w:rPr>
                <w:rFonts w:ascii="宋体" w:hAnsi="宋体" w:eastAsia="宋体"/>
                <w:sz w:val="18"/>
                <w:szCs w:val="18"/>
                <w:highlight w:val="none"/>
              </w:rPr>
              <w:t>20</w:t>
            </w:r>
          </w:p>
        </w:tc>
        <w:tc>
          <w:tcPr>
            <w:tcW w:w="627"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8</w:t>
            </w:r>
          </w:p>
        </w:tc>
        <w:tc>
          <w:tcPr>
            <w:tcW w:w="548"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19</w:t>
            </w:r>
          </w:p>
        </w:tc>
        <w:tc>
          <w:tcPr>
            <w:tcW w:w="628" w:type="dxa"/>
            <w:vAlign w:val="center"/>
          </w:tcPr>
          <w:p>
            <w:pPr>
              <w:spacing w:line="240" w:lineRule="exact"/>
              <w:jc w:val="center"/>
              <w:rPr>
                <w:rFonts w:ascii="宋体" w:hAnsi="宋体" w:eastAsia="宋体"/>
                <w:sz w:val="18"/>
                <w:szCs w:val="18"/>
                <w:highlight w:val="none"/>
              </w:rPr>
            </w:pPr>
          </w:p>
        </w:tc>
        <w:tc>
          <w:tcPr>
            <w:tcW w:w="514" w:type="dxa"/>
            <w:vAlign w:val="center"/>
          </w:tcPr>
          <w:p>
            <w:pPr>
              <w:spacing w:line="240" w:lineRule="exact"/>
              <w:jc w:val="center"/>
              <w:rPr>
                <w:rFonts w:ascii="宋体" w:hAnsi="宋体" w:eastAsia="宋体"/>
                <w:sz w:val="18"/>
                <w:szCs w:val="18"/>
                <w:highlight w:val="none"/>
              </w:rPr>
            </w:pPr>
          </w:p>
        </w:tc>
        <w:tc>
          <w:tcPr>
            <w:tcW w:w="1057" w:type="dxa"/>
            <w:vAlign w:val="center"/>
          </w:tcPr>
          <w:p>
            <w:pPr>
              <w:spacing w:line="240" w:lineRule="exact"/>
              <w:jc w:val="center"/>
              <w:rPr>
                <w:rFonts w:ascii="宋体" w:hAnsi="宋体" w:eastAsia="宋体"/>
                <w:sz w:val="18"/>
                <w:szCs w:val="18"/>
                <w:highlight w:val="none"/>
              </w:rPr>
            </w:pPr>
          </w:p>
        </w:tc>
        <w:tc>
          <w:tcPr>
            <w:tcW w:w="628" w:type="dxa"/>
            <w:vAlign w:val="center"/>
          </w:tcPr>
          <w:p>
            <w:pPr>
              <w:spacing w:line="240" w:lineRule="exact"/>
              <w:jc w:val="center"/>
              <w:rPr>
                <w:rFonts w:ascii="宋体" w:hAnsi="宋体" w:eastAsia="宋体"/>
                <w:sz w:val="18"/>
                <w:szCs w:val="18"/>
                <w:highlight w:val="none"/>
              </w:rPr>
            </w:pPr>
          </w:p>
        </w:tc>
        <w:tc>
          <w:tcPr>
            <w:tcW w:w="462"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w:t>
            </w:r>
          </w:p>
        </w:tc>
        <w:tc>
          <w:tcPr>
            <w:tcW w:w="609"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合计</w:t>
            </w:r>
          </w:p>
        </w:tc>
        <w:tc>
          <w:tcPr>
            <w:tcW w:w="657" w:type="dxa"/>
            <w:vAlign w:val="center"/>
          </w:tcPr>
          <w:p>
            <w:pPr>
              <w:spacing w:line="240" w:lineRule="exact"/>
              <w:jc w:val="center"/>
              <w:rPr>
                <w:rFonts w:ascii="宋体" w:hAnsi="宋体" w:eastAsia="宋体"/>
                <w:sz w:val="18"/>
                <w:szCs w:val="18"/>
                <w:highlight w:val="none"/>
              </w:rPr>
            </w:pPr>
          </w:p>
        </w:tc>
        <w:tc>
          <w:tcPr>
            <w:tcW w:w="667" w:type="dxa"/>
            <w:vAlign w:val="center"/>
          </w:tcPr>
          <w:p>
            <w:pPr>
              <w:spacing w:line="240" w:lineRule="exact"/>
              <w:jc w:val="center"/>
              <w:rPr>
                <w:rFonts w:ascii="宋体" w:hAnsi="宋体" w:eastAsia="宋体"/>
                <w:sz w:val="18"/>
                <w:szCs w:val="18"/>
                <w:highlight w:val="none"/>
              </w:rPr>
            </w:pPr>
          </w:p>
        </w:tc>
        <w:tc>
          <w:tcPr>
            <w:tcW w:w="1249" w:type="dxa"/>
            <w:gridSpan w:val="2"/>
            <w:vAlign w:val="center"/>
          </w:tcPr>
          <w:p>
            <w:pPr>
              <w:spacing w:line="240" w:lineRule="exact"/>
              <w:jc w:val="center"/>
              <w:rPr>
                <w:rFonts w:ascii="宋体" w:hAnsi="宋体" w:eastAsia="宋体"/>
                <w:sz w:val="18"/>
                <w:szCs w:val="18"/>
                <w:highlight w:val="none"/>
              </w:rPr>
            </w:pPr>
            <w:r>
              <w:rPr>
                <w:rFonts w:hint="eastAsia" w:ascii="宋体" w:hAnsi="宋体" w:eastAsia="宋体"/>
                <w:sz w:val="18"/>
                <w:szCs w:val="18"/>
                <w:highlight w:val="none"/>
              </w:rPr>
              <w:t>156</w:t>
            </w:r>
          </w:p>
        </w:tc>
        <w:tc>
          <w:tcPr>
            <w:tcW w:w="1690" w:type="dxa"/>
            <w:gridSpan w:val="3"/>
            <w:vAlign w:val="center"/>
          </w:tcPr>
          <w:p>
            <w:pPr>
              <w:spacing w:line="240" w:lineRule="exact"/>
              <w:jc w:val="center"/>
              <w:rPr>
                <w:rFonts w:ascii="宋体" w:hAnsi="宋体" w:eastAsia="宋体"/>
                <w:sz w:val="18"/>
                <w:szCs w:val="18"/>
                <w:highlight w:val="none"/>
              </w:rPr>
            </w:pPr>
          </w:p>
        </w:tc>
        <w:tc>
          <w:tcPr>
            <w:tcW w:w="1057" w:type="dxa"/>
            <w:vAlign w:val="center"/>
          </w:tcPr>
          <w:p>
            <w:pPr>
              <w:spacing w:line="240" w:lineRule="exact"/>
              <w:jc w:val="center"/>
              <w:rPr>
                <w:rFonts w:ascii="宋体" w:hAnsi="宋体" w:eastAsia="宋体"/>
                <w:sz w:val="18"/>
                <w:szCs w:val="18"/>
                <w:highlight w:val="none"/>
              </w:rPr>
            </w:pPr>
          </w:p>
        </w:tc>
        <w:tc>
          <w:tcPr>
            <w:tcW w:w="1699" w:type="dxa"/>
            <w:gridSpan w:val="3"/>
            <w:vAlign w:val="center"/>
          </w:tcPr>
          <w:p>
            <w:pPr>
              <w:pStyle w:val="25"/>
              <w:widowControl w:val="0"/>
              <w:pBdr>
                <w:left w:val="none" w:color="auto" w:sz="0" w:space="0"/>
                <w:right w:val="none" w:color="auto" w:sz="0" w:space="0"/>
              </w:pBdr>
              <w:spacing w:before="0" w:beforeAutospacing="0" w:after="0" w:afterAutospacing="0" w:line="240" w:lineRule="exact"/>
              <w:textAlignment w:val="auto"/>
              <w:rPr>
                <w:rFonts w:ascii="宋体" w:hAnsi="宋体" w:eastAsia="宋体"/>
                <w:kern w:val="2"/>
                <w:sz w:val="18"/>
                <w:szCs w:val="18"/>
                <w:highlight w:val="none"/>
              </w:rPr>
            </w:pPr>
          </w:p>
        </w:tc>
      </w:tr>
    </w:tbl>
    <w:p>
      <w:pPr>
        <w:spacing w:line="400" w:lineRule="exact"/>
        <w:rPr>
          <w:rFonts w:ascii="宋体" w:hAnsi="宋体" w:eastAsia="宋体"/>
          <w:highlight w:val="none"/>
        </w:rPr>
      </w:pPr>
      <w:r>
        <w:rPr>
          <w:rFonts w:hint="eastAsia" w:ascii="宋体" w:hAnsi="宋体" w:eastAsia="宋体"/>
          <w:highlight w:val="none"/>
        </w:rPr>
        <w:t xml:space="preserve">    </w:t>
      </w:r>
    </w:p>
    <w:p>
      <w:pPr>
        <w:spacing w:line="400" w:lineRule="exact"/>
        <w:ind w:firstLine="210" w:firstLineChars="100"/>
        <w:rPr>
          <w:rFonts w:ascii="宋体" w:hAnsi="宋体" w:eastAsia="宋体"/>
          <w:szCs w:val="21"/>
          <w:highlight w:val="none"/>
        </w:rPr>
      </w:pPr>
      <w:r>
        <w:rPr>
          <w:rFonts w:hint="eastAsia" w:ascii="宋体" w:hAnsi="宋体" w:eastAsia="宋体"/>
          <w:highlight w:val="none"/>
        </w:rPr>
        <w:t>（二）</w:t>
      </w:r>
      <w:r>
        <w:rPr>
          <w:rFonts w:hint="eastAsia" w:ascii="宋体" w:hAnsi="宋体" w:eastAsia="宋体"/>
          <w:szCs w:val="21"/>
          <w:highlight w:val="none"/>
        </w:rPr>
        <w:t>教学进程表</w:t>
      </w:r>
    </w:p>
    <w:tbl>
      <w:tblPr>
        <w:tblStyle w:val="13"/>
        <w:tblpPr w:leftFromText="180" w:rightFromText="180" w:vertAnchor="text" w:horzAnchor="page" w:tblpX="1819" w:tblpY="3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4"/>
        <w:gridCol w:w="21"/>
        <w:gridCol w:w="406"/>
        <w:gridCol w:w="347"/>
        <w:gridCol w:w="1559"/>
        <w:gridCol w:w="992"/>
        <w:gridCol w:w="485"/>
        <w:gridCol w:w="562"/>
        <w:gridCol w:w="417"/>
        <w:gridCol w:w="495"/>
        <w:gridCol w:w="495"/>
        <w:gridCol w:w="500"/>
        <w:gridCol w:w="458"/>
        <w:gridCol w:w="432"/>
        <w:gridCol w:w="477"/>
        <w:gridCol w:w="330"/>
        <w:gridCol w:w="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tblHeader/>
        </w:trPr>
        <w:tc>
          <w:tcPr>
            <w:tcW w:w="661" w:type="dxa"/>
            <w:gridSpan w:val="3"/>
            <w:vMerge w:val="restart"/>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课程类别</w:t>
            </w:r>
          </w:p>
          <w:p>
            <w:pPr>
              <w:spacing w:line="280" w:lineRule="exact"/>
              <w:jc w:val="center"/>
              <w:rPr>
                <w:rFonts w:ascii="宋体" w:hAnsi="宋体" w:eastAsia="宋体"/>
                <w:sz w:val="18"/>
                <w:szCs w:val="18"/>
                <w:highlight w:val="none"/>
              </w:rPr>
            </w:pPr>
          </w:p>
        </w:tc>
        <w:tc>
          <w:tcPr>
            <w:tcW w:w="347"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课程序号</w:t>
            </w:r>
          </w:p>
        </w:tc>
        <w:tc>
          <w:tcPr>
            <w:tcW w:w="1559"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课程名称</w:t>
            </w:r>
          </w:p>
        </w:tc>
        <w:tc>
          <w:tcPr>
            <w:tcW w:w="992"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课程代码</w:t>
            </w:r>
          </w:p>
        </w:tc>
        <w:tc>
          <w:tcPr>
            <w:tcW w:w="485" w:type="dxa"/>
            <w:vMerge w:val="restart"/>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学分</w:t>
            </w:r>
          </w:p>
        </w:tc>
        <w:tc>
          <w:tcPr>
            <w:tcW w:w="562"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课时</w:t>
            </w:r>
          </w:p>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总计</w:t>
            </w:r>
          </w:p>
        </w:tc>
        <w:tc>
          <w:tcPr>
            <w:tcW w:w="912"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课时</w:t>
            </w:r>
          </w:p>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分配</w:t>
            </w:r>
          </w:p>
        </w:tc>
        <w:tc>
          <w:tcPr>
            <w:tcW w:w="2692" w:type="dxa"/>
            <w:gridSpan w:val="6"/>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学年及学期</w:t>
            </w:r>
          </w:p>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（教学周数*周学时数）</w:t>
            </w:r>
          </w:p>
        </w:tc>
        <w:tc>
          <w:tcPr>
            <w:tcW w:w="438"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考试</w:t>
            </w:r>
          </w:p>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（大写）</w:t>
            </w:r>
          </w:p>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考查</w:t>
            </w:r>
          </w:p>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661" w:type="dxa"/>
            <w:gridSpan w:val="3"/>
            <w:vMerge w:val="continue"/>
            <w:vAlign w:val="center"/>
          </w:tcPr>
          <w:p>
            <w:pPr>
              <w:spacing w:line="280" w:lineRule="exact"/>
              <w:jc w:val="center"/>
              <w:rPr>
                <w:rFonts w:ascii="宋体" w:hAnsi="宋体" w:eastAsia="宋体"/>
                <w:sz w:val="18"/>
                <w:szCs w:val="18"/>
                <w:highlight w:val="none"/>
              </w:rPr>
            </w:pPr>
          </w:p>
        </w:tc>
        <w:tc>
          <w:tcPr>
            <w:tcW w:w="347" w:type="dxa"/>
            <w:vMerge w:val="continue"/>
            <w:vAlign w:val="center"/>
          </w:tcPr>
          <w:p>
            <w:pPr>
              <w:spacing w:line="280" w:lineRule="exact"/>
              <w:jc w:val="center"/>
              <w:rPr>
                <w:rFonts w:ascii="宋体" w:hAnsi="宋体" w:eastAsia="宋体"/>
                <w:sz w:val="18"/>
                <w:szCs w:val="18"/>
                <w:highlight w:val="none"/>
              </w:rPr>
            </w:pPr>
          </w:p>
        </w:tc>
        <w:tc>
          <w:tcPr>
            <w:tcW w:w="1559" w:type="dxa"/>
            <w:vMerge w:val="continue"/>
            <w:vAlign w:val="center"/>
          </w:tcPr>
          <w:p>
            <w:pPr>
              <w:spacing w:line="280" w:lineRule="exact"/>
              <w:jc w:val="center"/>
              <w:rPr>
                <w:rFonts w:ascii="宋体" w:hAnsi="宋体" w:eastAsia="宋体"/>
                <w:sz w:val="18"/>
                <w:szCs w:val="18"/>
                <w:highlight w:val="none"/>
              </w:rPr>
            </w:pPr>
          </w:p>
        </w:tc>
        <w:tc>
          <w:tcPr>
            <w:tcW w:w="992" w:type="dxa"/>
            <w:vMerge w:val="continue"/>
            <w:vAlign w:val="center"/>
          </w:tcPr>
          <w:p>
            <w:pPr>
              <w:spacing w:line="280" w:lineRule="exact"/>
              <w:jc w:val="center"/>
              <w:rPr>
                <w:rFonts w:ascii="宋体" w:hAnsi="宋体" w:eastAsia="宋体"/>
                <w:sz w:val="18"/>
                <w:szCs w:val="18"/>
                <w:highlight w:val="none"/>
              </w:rPr>
            </w:pPr>
          </w:p>
        </w:tc>
        <w:tc>
          <w:tcPr>
            <w:tcW w:w="485" w:type="dxa"/>
            <w:vMerge w:val="continue"/>
            <w:vAlign w:val="center"/>
          </w:tcPr>
          <w:p>
            <w:pPr>
              <w:spacing w:line="280" w:lineRule="exact"/>
              <w:jc w:val="center"/>
              <w:rPr>
                <w:rFonts w:ascii="宋体" w:hAnsi="宋体" w:eastAsia="宋体"/>
                <w:sz w:val="18"/>
                <w:szCs w:val="18"/>
                <w:highlight w:val="none"/>
              </w:rPr>
            </w:pPr>
          </w:p>
        </w:tc>
        <w:tc>
          <w:tcPr>
            <w:tcW w:w="562" w:type="dxa"/>
            <w:vMerge w:val="continue"/>
            <w:vAlign w:val="center"/>
          </w:tcPr>
          <w:p>
            <w:pPr>
              <w:spacing w:line="280" w:lineRule="exact"/>
              <w:jc w:val="center"/>
              <w:rPr>
                <w:rFonts w:ascii="宋体" w:hAnsi="宋体" w:eastAsia="宋体"/>
                <w:sz w:val="18"/>
                <w:szCs w:val="18"/>
                <w:highlight w:val="none"/>
              </w:rPr>
            </w:pPr>
          </w:p>
        </w:tc>
        <w:tc>
          <w:tcPr>
            <w:tcW w:w="417"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理论课</w:t>
            </w:r>
          </w:p>
        </w:tc>
        <w:tc>
          <w:tcPr>
            <w:tcW w:w="495"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实训课</w:t>
            </w:r>
          </w:p>
        </w:tc>
        <w:tc>
          <w:tcPr>
            <w:tcW w:w="995"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w:t>
            </w:r>
            <w:r>
              <w:rPr>
                <w:rFonts w:hint="eastAsia" w:ascii="宋体" w:hAnsi="宋体" w:eastAsia="宋体"/>
                <w:sz w:val="18"/>
                <w:szCs w:val="18"/>
                <w:highlight w:val="none"/>
              </w:rPr>
              <w:t>学年</w:t>
            </w:r>
          </w:p>
        </w:tc>
        <w:tc>
          <w:tcPr>
            <w:tcW w:w="890"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2</w:t>
            </w:r>
            <w:r>
              <w:rPr>
                <w:rFonts w:hint="eastAsia" w:ascii="宋体" w:hAnsi="宋体" w:eastAsia="宋体"/>
                <w:sz w:val="18"/>
                <w:szCs w:val="18"/>
                <w:highlight w:val="none"/>
              </w:rPr>
              <w:t>学年</w:t>
            </w:r>
          </w:p>
        </w:tc>
        <w:tc>
          <w:tcPr>
            <w:tcW w:w="807"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3</w:t>
            </w:r>
            <w:r>
              <w:rPr>
                <w:rFonts w:hint="eastAsia" w:ascii="宋体" w:hAnsi="宋体" w:eastAsia="宋体"/>
                <w:sz w:val="18"/>
                <w:szCs w:val="18"/>
                <w:highlight w:val="none"/>
              </w:rPr>
              <w:t>学年</w:t>
            </w:r>
          </w:p>
        </w:tc>
        <w:tc>
          <w:tcPr>
            <w:tcW w:w="43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661" w:type="dxa"/>
            <w:gridSpan w:val="3"/>
            <w:vMerge w:val="continue"/>
            <w:vAlign w:val="center"/>
          </w:tcPr>
          <w:p>
            <w:pPr>
              <w:spacing w:line="280" w:lineRule="exact"/>
              <w:jc w:val="center"/>
              <w:rPr>
                <w:rFonts w:ascii="宋体" w:hAnsi="宋体" w:eastAsia="宋体"/>
                <w:sz w:val="18"/>
                <w:szCs w:val="18"/>
                <w:highlight w:val="none"/>
              </w:rPr>
            </w:pPr>
          </w:p>
        </w:tc>
        <w:tc>
          <w:tcPr>
            <w:tcW w:w="347" w:type="dxa"/>
            <w:vMerge w:val="continue"/>
            <w:vAlign w:val="center"/>
          </w:tcPr>
          <w:p>
            <w:pPr>
              <w:spacing w:line="280" w:lineRule="exact"/>
              <w:jc w:val="center"/>
              <w:rPr>
                <w:rFonts w:ascii="宋体" w:hAnsi="宋体" w:eastAsia="宋体"/>
                <w:sz w:val="18"/>
                <w:szCs w:val="18"/>
                <w:highlight w:val="none"/>
              </w:rPr>
            </w:pPr>
          </w:p>
        </w:tc>
        <w:tc>
          <w:tcPr>
            <w:tcW w:w="1559" w:type="dxa"/>
            <w:vMerge w:val="continue"/>
            <w:vAlign w:val="center"/>
          </w:tcPr>
          <w:p>
            <w:pPr>
              <w:spacing w:line="280" w:lineRule="exact"/>
              <w:jc w:val="center"/>
              <w:rPr>
                <w:rFonts w:ascii="宋体" w:hAnsi="宋体" w:eastAsia="宋体"/>
                <w:sz w:val="18"/>
                <w:szCs w:val="18"/>
                <w:highlight w:val="none"/>
              </w:rPr>
            </w:pPr>
          </w:p>
        </w:tc>
        <w:tc>
          <w:tcPr>
            <w:tcW w:w="992" w:type="dxa"/>
            <w:vMerge w:val="continue"/>
            <w:vAlign w:val="center"/>
          </w:tcPr>
          <w:p>
            <w:pPr>
              <w:spacing w:line="280" w:lineRule="exact"/>
              <w:jc w:val="center"/>
              <w:rPr>
                <w:rFonts w:ascii="宋体" w:hAnsi="宋体" w:eastAsia="宋体"/>
                <w:sz w:val="18"/>
                <w:szCs w:val="18"/>
                <w:highlight w:val="none"/>
              </w:rPr>
            </w:pPr>
          </w:p>
        </w:tc>
        <w:tc>
          <w:tcPr>
            <w:tcW w:w="485" w:type="dxa"/>
            <w:vMerge w:val="continue"/>
            <w:vAlign w:val="center"/>
          </w:tcPr>
          <w:p>
            <w:pPr>
              <w:spacing w:line="280" w:lineRule="exact"/>
              <w:jc w:val="center"/>
              <w:rPr>
                <w:rFonts w:ascii="宋体" w:hAnsi="宋体" w:eastAsia="宋体"/>
                <w:sz w:val="18"/>
                <w:szCs w:val="18"/>
                <w:highlight w:val="none"/>
              </w:rPr>
            </w:pPr>
          </w:p>
        </w:tc>
        <w:tc>
          <w:tcPr>
            <w:tcW w:w="562" w:type="dxa"/>
            <w:vMerge w:val="continue"/>
            <w:vAlign w:val="center"/>
          </w:tcPr>
          <w:p>
            <w:pPr>
              <w:spacing w:line="280" w:lineRule="exact"/>
              <w:jc w:val="center"/>
              <w:rPr>
                <w:rFonts w:ascii="宋体" w:hAnsi="宋体" w:eastAsia="宋体"/>
                <w:sz w:val="18"/>
                <w:szCs w:val="18"/>
                <w:highlight w:val="none"/>
              </w:rPr>
            </w:pPr>
          </w:p>
        </w:tc>
        <w:tc>
          <w:tcPr>
            <w:tcW w:w="417" w:type="dxa"/>
            <w:vMerge w:val="continue"/>
            <w:vAlign w:val="center"/>
          </w:tcPr>
          <w:p>
            <w:pPr>
              <w:spacing w:line="280" w:lineRule="exact"/>
              <w:jc w:val="center"/>
              <w:rPr>
                <w:rFonts w:ascii="宋体" w:hAnsi="宋体" w:eastAsia="宋体"/>
                <w:sz w:val="18"/>
                <w:szCs w:val="18"/>
                <w:highlight w:val="none"/>
              </w:rPr>
            </w:pPr>
          </w:p>
        </w:tc>
        <w:tc>
          <w:tcPr>
            <w:tcW w:w="495" w:type="dxa"/>
            <w:vMerge w:val="continue"/>
            <w:vAlign w:val="center"/>
          </w:tcPr>
          <w:p>
            <w:pPr>
              <w:spacing w:line="280" w:lineRule="exact"/>
              <w:jc w:val="center"/>
              <w:rPr>
                <w:rFonts w:ascii="宋体" w:hAnsi="宋体" w:eastAsia="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2</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3</w:t>
            </w: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4</w:t>
            </w: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5</w:t>
            </w: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6</w:t>
            </w:r>
          </w:p>
        </w:tc>
        <w:tc>
          <w:tcPr>
            <w:tcW w:w="43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 w:hRule="atLeast"/>
          <w:tblHeader/>
        </w:trPr>
        <w:tc>
          <w:tcPr>
            <w:tcW w:w="661" w:type="dxa"/>
            <w:gridSpan w:val="3"/>
            <w:vMerge w:val="continue"/>
            <w:vAlign w:val="center"/>
          </w:tcPr>
          <w:p>
            <w:pPr>
              <w:spacing w:line="280" w:lineRule="exact"/>
              <w:jc w:val="center"/>
              <w:rPr>
                <w:rFonts w:ascii="宋体" w:hAnsi="宋体" w:eastAsia="宋体"/>
                <w:sz w:val="18"/>
                <w:szCs w:val="18"/>
                <w:highlight w:val="none"/>
              </w:rPr>
            </w:pPr>
          </w:p>
        </w:tc>
        <w:tc>
          <w:tcPr>
            <w:tcW w:w="347" w:type="dxa"/>
            <w:vMerge w:val="continue"/>
            <w:vAlign w:val="center"/>
          </w:tcPr>
          <w:p>
            <w:pPr>
              <w:spacing w:line="280" w:lineRule="exact"/>
              <w:jc w:val="center"/>
              <w:rPr>
                <w:rFonts w:ascii="宋体" w:hAnsi="宋体" w:eastAsia="宋体"/>
                <w:sz w:val="18"/>
                <w:szCs w:val="18"/>
                <w:highlight w:val="none"/>
              </w:rPr>
            </w:pPr>
          </w:p>
        </w:tc>
        <w:tc>
          <w:tcPr>
            <w:tcW w:w="1559" w:type="dxa"/>
            <w:vMerge w:val="continue"/>
            <w:vAlign w:val="center"/>
          </w:tcPr>
          <w:p>
            <w:pPr>
              <w:spacing w:line="280" w:lineRule="exact"/>
              <w:jc w:val="center"/>
              <w:rPr>
                <w:rFonts w:ascii="宋体" w:hAnsi="宋体" w:eastAsia="宋体"/>
                <w:sz w:val="18"/>
                <w:szCs w:val="18"/>
                <w:highlight w:val="none"/>
              </w:rPr>
            </w:pPr>
          </w:p>
        </w:tc>
        <w:tc>
          <w:tcPr>
            <w:tcW w:w="992" w:type="dxa"/>
            <w:vMerge w:val="continue"/>
            <w:vAlign w:val="center"/>
          </w:tcPr>
          <w:p>
            <w:pPr>
              <w:spacing w:line="280" w:lineRule="exact"/>
              <w:jc w:val="center"/>
              <w:rPr>
                <w:rFonts w:ascii="宋体" w:hAnsi="宋体" w:eastAsia="宋体"/>
                <w:sz w:val="18"/>
                <w:szCs w:val="18"/>
                <w:highlight w:val="none"/>
              </w:rPr>
            </w:pPr>
          </w:p>
        </w:tc>
        <w:tc>
          <w:tcPr>
            <w:tcW w:w="485" w:type="dxa"/>
            <w:vMerge w:val="continue"/>
            <w:vAlign w:val="center"/>
          </w:tcPr>
          <w:p>
            <w:pPr>
              <w:spacing w:line="280" w:lineRule="exact"/>
              <w:jc w:val="center"/>
              <w:rPr>
                <w:rFonts w:ascii="宋体" w:hAnsi="宋体" w:eastAsia="宋体"/>
                <w:sz w:val="18"/>
                <w:szCs w:val="18"/>
                <w:highlight w:val="none"/>
              </w:rPr>
            </w:pPr>
          </w:p>
        </w:tc>
        <w:tc>
          <w:tcPr>
            <w:tcW w:w="562" w:type="dxa"/>
            <w:vMerge w:val="continue"/>
            <w:vAlign w:val="center"/>
          </w:tcPr>
          <w:p>
            <w:pPr>
              <w:spacing w:line="280" w:lineRule="exact"/>
              <w:jc w:val="center"/>
              <w:rPr>
                <w:rFonts w:ascii="宋体" w:hAnsi="宋体" w:eastAsia="宋体"/>
                <w:sz w:val="18"/>
                <w:szCs w:val="18"/>
                <w:highlight w:val="none"/>
              </w:rPr>
            </w:pPr>
          </w:p>
        </w:tc>
        <w:tc>
          <w:tcPr>
            <w:tcW w:w="417" w:type="dxa"/>
            <w:vMerge w:val="continue"/>
            <w:vAlign w:val="center"/>
          </w:tcPr>
          <w:p>
            <w:pPr>
              <w:spacing w:line="280" w:lineRule="exact"/>
              <w:jc w:val="center"/>
              <w:rPr>
                <w:rFonts w:ascii="宋体" w:hAnsi="宋体" w:eastAsia="宋体"/>
                <w:sz w:val="18"/>
                <w:szCs w:val="18"/>
                <w:highlight w:val="none"/>
              </w:rPr>
            </w:pPr>
          </w:p>
        </w:tc>
        <w:tc>
          <w:tcPr>
            <w:tcW w:w="495" w:type="dxa"/>
            <w:vMerge w:val="continue"/>
            <w:vAlign w:val="center"/>
          </w:tcPr>
          <w:p>
            <w:pPr>
              <w:spacing w:line="280" w:lineRule="exact"/>
              <w:jc w:val="center"/>
              <w:rPr>
                <w:rFonts w:ascii="宋体" w:hAnsi="宋体" w:eastAsia="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15</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17</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17</w:t>
            </w: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17</w:t>
            </w: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16</w:t>
            </w: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19</w:t>
            </w:r>
          </w:p>
        </w:tc>
        <w:tc>
          <w:tcPr>
            <w:tcW w:w="43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8" w:hRule="atLeast"/>
        </w:trPr>
        <w:tc>
          <w:tcPr>
            <w:tcW w:w="234"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必修课</w:t>
            </w:r>
          </w:p>
        </w:tc>
        <w:tc>
          <w:tcPr>
            <w:tcW w:w="427" w:type="dxa"/>
            <w:gridSpan w:val="2"/>
            <w:vMerge w:val="restart"/>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通用职业能力</w:t>
            </w:r>
          </w:p>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素养课程</w:t>
            </w: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军事理论</w:t>
            </w:r>
          </w:p>
        </w:tc>
        <w:tc>
          <w:tcPr>
            <w:tcW w:w="992"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highlight w:val="none"/>
              </w:rPr>
            </w:pPr>
            <w:r>
              <w:rPr>
                <w:rFonts w:hint="eastAsia" w:ascii="宋体" w:hAnsi="宋体" w:eastAsia="宋体"/>
                <w:kern w:val="0"/>
                <w:highlight w:val="none"/>
                <w:lang w:eastAsia="zh-CN"/>
              </w:rPr>
              <w:t>510211</w:t>
            </w:r>
            <w:r>
              <w:rPr>
                <w:rFonts w:hint="eastAsia" w:ascii="宋体" w:hAnsi="宋体" w:eastAsia="宋体"/>
                <w:kern w:val="0"/>
                <w:highlight w:val="none"/>
              </w:rPr>
              <w:t>11</w:t>
            </w:r>
            <w:r>
              <w:rPr>
                <w:rFonts w:ascii="宋体" w:hAnsi="宋体" w:eastAsia="宋体"/>
                <w:kern w:val="0"/>
                <w:highlight w:val="none"/>
              </w:rPr>
              <w:t>1</w:t>
            </w:r>
            <w:r>
              <w:rPr>
                <w:rFonts w:hint="eastAsia" w:ascii="宋体" w:hAnsi="宋体" w:eastAsia="宋体"/>
                <w:kern w:val="0"/>
                <w:highlight w:val="none"/>
              </w:rPr>
              <w:t>0</w:t>
            </w:r>
          </w:p>
        </w:tc>
        <w:tc>
          <w:tcPr>
            <w:tcW w:w="485" w:type="dxa"/>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36</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w:t>
            </w:r>
            <w:r>
              <w:rPr>
                <w:rFonts w:ascii="宋体" w:hAnsi="宋体" w:eastAsia="宋体"/>
                <w:sz w:val="18"/>
                <w:szCs w:val="18"/>
                <w:highlight w:val="none"/>
              </w:rPr>
              <w:t>4*2</w:t>
            </w:r>
            <w:r>
              <w:rPr>
                <w:rFonts w:hint="eastAsia" w:ascii="宋体" w:hAnsi="宋体" w:eastAsia="宋体"/>
                <w:sz w:val="18"/>
                <w:szCs w:val="18"/>
                <w:highlight w:val="none"/>
              </w:rPr>
              <w:t>+</w:t>
            </w:r>
            <w:r>
              <w:rPr>
                <w:rFonts w:ascii="宋体" w:hAnsi="宋体" w:eastAsia="宋体"/>
                <w:sz w:val="18"/>
                <w:szCs w:val="18"/>
                <w:highlight w:val="none"/>
              </w:rPr>
              <w:t>8</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军事训练</w:t>
            </w:r>
          </w:p>
        </w:tc>
        <w:tc>
          <w:tcPr>
            <w:tcW w:w="992"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kern w:val="0"/>
                <w:highlight w:val="none"/>
              </w:rPr>
            </w:pPr>
            <w:r>
              <w:rPr>
                <w:rFonts w:hint="eastAsia" w:ascii="宋体" w:hAnsi="宋体" w:eastAsia="宋体"/>
                <w:kern w:val="0"/>
                <w:highlight w:val="none"/>
                <w:lang w:eastAsia="zh-CN"/>
              </w:rPr>
              <w:t>510211</w:t>
            </w:r>
            <w:r>
              <w:rPr>
                <w:rFonts w:ascii="宋体" w:hAnsi="宋体" w:eastAsia="宋体"/>
                <w:kern w:val="0"/>
                <w:highlight w:val="none"/>
              </w:rPr>
              <w:t>1140</w:t>
            </w:r>
          </w:p>
        </w:tc>
        <w:tc>
          <w:tcPr>
            <w:tcW w:w="485" w:type="dxa"/>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1</w:t>
            </w:r>
            <w:r>
              <w:rPr>
                <w:rFonts w:ascii="宋体" w:hAnsi="宋体" w:eastAsia="宋体"/>
                <w:kern w:val="0"/>
                <w:sz w:val="18"/>
                <w:szCs w:val="18"/>
                <w:highlight w:val="none"/>
              </w:rPr>
              <w:t>12</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w:t>
            </w:r>
            <w:r>
              <w:rPr>
                <w:rFonts w:ascii="宋体" w:hAnsi="宋体" w:eastAsia="宋体"/>
                <w:sz w:val="18"/>
                <w:szCs w:val="18"/>
                <w:highlight w:val="none"/>
              </w:rPr>
              <w:t>12</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2w</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思想道德与法治</w:t>
            </w:r>
          </w:p>
        </w:tc>
        <w:tc>
          <w:tcPr>
            <w:tcW w:w="992"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highlight w:val="none"/>
              </w:rPr>
            </w:pPr>
            <w:r>
              <w:rPr>
                <w:rFonts w:hint="eastAsia" w:ascii="宋体" w:hAnsi="宋体" w:eastAsia="宋体"/>
                <w:kern w:val="0"/>
                <w:highlight w:val="none"/>
                <w:lang w:eastAsia="zh-CN"/>
              </w:rPr>
              <w:t>510211</w:t>
            </w:r>
            <w:r>
              <w:rPr>
                <w:rFonts w:hint="eastAsia" w:ascii="宋体" w:hAnsi="宋体" w:eastAsia="宋体"/>
                <w:kern w:val="0"/>
                <w:highlight w:val="none"/>
              </w:rPr>
              <w:t>114</w:t>
            </w:r>
            <w:r>
              <w:rPr>
                <w:rFonts w:ascii="宋体" w:hAnsi="宋体" w:eastAsia="宋体"/>
                <w:kern w:val="0"/>
                <w:highlight w:val="none"/>
              </w:rPr>
              <w:t>1</w:t>
            </w:r>
          </w:p>
        </w:tc>
        <w:tc>
          <w:tcPr>
            <w:tcW w:w="485" w:type="dxa"/>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3</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48</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48</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14</w:t>
            </w:r>
            <w:r>
              <w:rPr>
                <w:rFonts w:hint="eastAsia" w:ascii="宋体" w:hAnsi="宋体" w:eastAsia="宋体"/>
                <w:sz w:val="18"/>
                <w:szCs w:val="18"/>
                <w:highlight w:val="none"/>
              </w:rPr>
              <w:t>*3</w:t>
            </w:r>
            <w:r>
              <w:rPr>
                <w:rFonts w:ascii="宋体" w:hAnsi="宋体" w:eastAsia="宋体"/>
                <w:sz w:val="18"/>
                <w:szCs w:val="18"/>
                <w:highlight w:val="none"/>
              </w:rPr>
              <w:t>+6</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毛泽东思想和中国特色社会主义理论体系概论</w:t>
            </w:r>
          </w:p>
        </w:tc>
        <w:tc>
          <w:tcPr>
            <w:tcW w:w="992"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highlight w:val="none"/>
              </w:rPr>
            </w:pPr>
            <w:r>
              <w:rPr>
                <w:rFonts w:hint="eastAsia" w:ascii="宋体" w:hAnsi="宋体" w:eastAsia="宋体"/>
                <w:kern w:val="0"/>
                <w:highlight w:val="none"/>
                <w:lang w:eastAsia="zh-CN"/>
              </w:rPr>
              <w:t>510211</w:t>
            </w:r>
            <w:r>
              <w:rPr>
                <w:rFonts w:hint="eastAsia" w:ascii="宋体" w:hAnsi="宋体" w:eastAsia="宋体"/>
                <w:kern w:val="0"/>
                <w:highlight w:val="none"/>
              </w:rPr>
              <w:t>114</w:t>
            </w:r>
            <w:r>
              <w:rPr>
                <w:rFonts w:ascii="宋体" w:hAnsi="宋体" w:eastAsia="宋体"/>
                <w:kern w:val="0"/>
                <w:highlight w:val="none"/>
              </w:rPr>
              <w:t>2</w:t>
            </w:r>
          </w:p>
        </w:tc>
        <w:tc>
          <w:tcPr>
            <w:tcW w:w="485" w:type="dxa"/>
            <w:vAlign w:val="center"/>
          </w:tcPr>
          <w:p>
            <w:pPr>
              <w:spacing w:line="280" w:lineRule="exact"/>
              <w:jc w:val="center"/>
              <w:rPr>
                <w:rFonts w:ascii="宋体" w:hAnsi="宋体" w:eastAsia="宋体"/>
                <w:kern w:val="0"/>
                <w:sz w:val="18"/>
                <w:szCs w:val="18"/>
                <w:highlight w:val="none"/>
              </w:rPr>
            </w:pPr>
            <w:r>
              <w:rPr>
                <w:rFonts w:ascii="宋体" w:hAnsi="宋体" w:eastAsia="宋体"/>
                <w:kern w:val="0"/>
                <w:sz w:val="18"/>
                <w:szCs w:val="18"/>
                <w:highlight w:val="none"/>
              </w:rPr>
              <w:t>5</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kern w:val="0"/>
                <w:sz w:val="18"/>
                <w:szCs w:val="18"/>
                <w:highlight w:val="none"/>
              </w:rPr>
              <w:t>80</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64</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16*4</w:t>
            </w:r>
            <w:r>
              <w:rPr>
                <w:rFonts w:ascii="宋体" w:hAnsi="宋体" w:eastAsia="宋体"/>
                <w:sz w:val="18"/>
                <w:szCs w:val="18"/>
                <w:highlight w:val="none"/>
              </w:rPr>
              <w:t>+16</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大学生心理健康教育</w:t>
            </w:r>
          </w:p>
        </w:tc>
        <w:tc>
          <w:tcPr>
            <w:tcW w:w="992"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kern w:val="0"/>
                <w:highlight w:val="none"/>
              </w:rPr>
            </w:pPr>
            <w:r>
              <w:rPr>
                <w:rFonts w:hint="eastAsia" w:ascii="宋体" w:hAnsi="宋体" w:eastAsia="宋体"/>
                <w:kern w:val="0"/>
                <w:highlight w:val="none"/>
                <w:lang w:eastAsia="zh-CN"/>
              </w:rPr>
              <w:t>510211</w:t>
            </w:r>
            <w:r>
              <w:rPr>
                <w:rFonts w:hint="eastAsia" w:ascii="宋体" w:hAnsi="宋体" w:eastAsia="宋体"/>
                <w:kern w:val="0"/>
                <w:highlight w:val="none"/>
              </w:rPr>
              <w:t>114</w:t>
            </w:r>
            <w:r>
              <w:rPr>
                <w:rFonts w:ascii="宋体" w:hAnsi="宋体" w:eastAsia="宋体"/>
                <w:kern w:val="0"/>
                <w:highlight w:val="none"/>
              </w:rPr>
              <w:t>3</w:t>
            </w:r>
          </w:p>
        </w:tc>
        <w:tc>
          <w:tcPr>
            <w:tcW w:w="485" w:type="dxa"/>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32</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14*1+18</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形势与政策</w:t>
            </w:r>
          </w:p>
        </w:tc>
        <w:tc>
          <w:tcPr>
            <w:tcW w:w="992" w:type="dxa"/>
            <w:tcMar>
              <w:top w:w="15" w:type="dxa"/>
              <w:left w:w="15" w:type="dxa"/>
              <w:bottom w:w="0" w:type="dxa"/>
              <w:right w:w="15" w:type="dxa"/>
            </w:tcMar>
            <w:vAlign w:val="center"/>
          </w:tcPr>
          <w:p>
            <w:pPr>
              <w:jc w:val="center"/>
              <w:rPr>
                <w:rFonts w:ascii="宋体" w:hAnsi="宋体" w:eastAsia="宋体"/>
                <w:sz w:val="18"/>
                <w:szCs w:val="18"/>
                <w:highlight w:val="none"/>
              </w:rPr>
            </w:pPr>
            <w:r>
              <w:rPr>
                <w:rFonts w:hint="eastAsia" w:ascii="宋体" w:hAnsi="宋体" w:eastAsia="宋体"/>
                <w:kern w:val="0"/>
                <w:sz w:val="18"/>
                <w:szCs w:val="18"/>
                <w:highlight w:val="none"/>
                <w:lang w:eastAsia="zh-CN"/>
              </w:rPr>
              <w:t>510211</w:t>
            </w:r>
            <w:r>
              <w:rPr>
                <w:rFonts w:hint="eastAsia" w:ascii="宋体" w:hAnsi="宋体" w:eastAsia="宋体"/>
                <w:kern w:val="0"/>
                <w:sz w:val="18"/>
                <w:szCs w:val="18"/>
                <w:highlight w:val="none"/>
              </w:rPr>
              <w:t>1150</w:t>
            </w:r>
          </w:p>
        </w:tc>
        <w:tc>
          <w:tcPr>
            <w:tcW w:w="485" w:type="dxa"/>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32</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32</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4</w:t>
            </w:r>
            <w:r>
              <w:rPr>
                <w:rFonts w:ascii="宋体" w:hAnsi="宋体" w:eastAsia="宋体"/>
                <w:sz w:val="18"/>
                <w:szCs w:val="18"/>
                <w:highlight w:val="none"/>
              </w:rPr>
              <w:t>*</w:t>
            </w:r>
            <w:r>
              <w:rPr>
                <w:rFonts w:hint="eastAsia" w:ascii="宋体" w:hAnsi="宋体" w:eastAsia="宋体"/>
                <w:sz w:val="18"/>
                <w:szCs w:val="18"/>
                <w:highlight w:val="none"/>
              </w:rPr>
              <w:t>2</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4</w:t>
            </w:r>
            <w:r>
              <w:rPr>
                <w:rFonts w:ascii="宋体" w:hAnsi="宋体" w:eastAsia="宋体"/>
                <w:sz w:val="18"/>
                <w:szCs w:val="18"/>
                <w:highlight w:val="none"/>
              </w:rPr>
              <w:t>*2</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4</w:t>
            </w:r>
            <w:r>
              <w:rPr>
                <w:rFonts w:ascii="宋体" w:hAnsi="宋体" w:eastAsia="宋体"/>
                <w:sz w:val="18"/>
                <w:szCs w:val="18"/>
                <w:highlight w:val="none"/>
              </w:rPr>
              <w:t>*2</w:t>
            </w: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4</w:t>
            </w:r>
            <w:r>
              <w:rPr>
                <w:rFonts w:ascii="宋体" w:hAnsi="宋体" w:eastAsia="宋体"/>
                <w:sz w:val="18"/>
                <w:szCs w:val="18"/>
                <w:highlight w:val="none"/>
              </w:rPr>
              <w:t>*2</w:t>
            </w: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综合英语</w:t>
            </w:r>
          </w:p>
        </w:tc>
        <w:tc>
          <w:tcPr>
            <w:tcW w:w="992" w:type="dxa"/>
            <w:tcMar>
              <w:top w:w="15" w:type="dxa"/>
              <w:left w:w="15" w:type="dxa"/>
              <w:bottom w:w="0" w:type="dxa"/>
              <w:right w:w="15" w:type="dxa"/>
            </w:tcMar>
            <w:vAlign w:val="center"/>
          </w:tcPr>
          <w:p>
            <w:pPr>
              <w:jc w:val="center"/>
              <w:rPr>
                <w:rFonts w:ascii="宋体" w:hAnsi="宋体" w:eastAsia="宋体"/>
                <w:sz w:val="18"/>
                <w:szCs w:val="18"/>
                <w:highlight w:val="none"/>
              </w:rPr>
            </w:pPr>
            <w:r>
              <w:rPr>
                <w:rFonts w:hint="eastAsia" w:ascii="宋体" w:hAnsi="宋体" w:eastAsia="宋体"/>
                <w:kern w:val="0"/>
                <w:sz w:val="18"/>
                <w:szCs w:val="18"/>
                <w:highlight w:val="none"/>
                <w:lang w:eastAsia="zh-CN"/>
              </w:rPr>
              <w:t>510211</w:t>
            </w:r>
            <w:r>
              <w:rPr>
                <w:rFonts w:hint="eastAsia" w:ascii="宋体" w:hAnsi="宋体" w:eastAsia="宋体"/>
                <w:kern w:val="0"/>
                <w:sz w:val="18"/>
                <w:szCs w:val="18"/>
                <w:highlight w:val="none"/>
              </w:rPr>
              <w:t>1111</w:t>
            </w:r>
          </w:p>
        </w:tc>
        <w:tc>
          <w:tcPr>
            <w:tcW w:w="485" w:type="dxa"/>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4.5</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76</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76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w:t>
            </w:r>
            <w:r>
              <w:rPr>
                <w:rFonts w:ascii="宋体" w:hAnsi="宋体" w:eastAsia="宋体"/>
                <w:sz w:val="18"/>
                <w:szCs w:val="18"/>
                <w:highlight w:val="none"/>
              </w:rPr>
              <w:t>4</w:t>
            </w:r>
            <w:r>
              <w:rPr>
                <w:rFonts w:hint="eastAsia" w:ascii="宋体" w:hAnsi="宋体" w:eastAsia="宋体"/>
                <w:sz w:val="18"/>
                <w:szCs w:val="18"/>
                <w:highlight w:val="none"/>
              </w:rPr>
              <w:t>*2</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16*3</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一二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实用大学语文</w:t>
            </w:r>
          </w:p>
        </w:tc>
        <w:tc>
          <w:tcPr>
            <w:tcW w:w="992" w:type="dxa"/>
            <w:tcMar>
              <w:top w:w="15" w:type="dxa"/>
              <w:left w:w="15" w:type="dxa"/>
              <w:bottom w:w="0" w:type="dxa"/>
              <w:right w:w="15" w:type="dxa"/>
            </w:tcMar>
            <w:vAlign w:val="center"/>
          </w:tcPr>
          <w:p>
            <w:pPr>
              <w:jc w:val="center"/>
              <w:rPr>
                <w:rFonts w:ascii="宋体" w:hAnsi="宋体" w:eastAsia="宋体"/>
                <w:sz w:val="18"/>
                <w:szCs w:val="18"/>
                <w:highlight w:val="none"/>
              </w:rPr>
            </w:pPr>
            <w:r>
              <w:rPr>
                <w:rFonts w:hint="eastAsia" w:ascii="宋体" w:hAnsi="宋体" w:eastAsia="宋体"/>
                <w:kern w:val="0"/>
                <w:sz w:val="18"/>
                <w:szCs w:val="18"/>
                <w:highlight w:val="none"/>
                <w:lang w:eastAsia="zh-CN"/>
              </w:rPr>
              <w:t>510211</w:t>
            </w:r>
            <w:r>
              <w:rPr>
                <w:rFonts w:hint="eastAsia" w:ascii="宋体" w:hAnsi="宋体" w:eastAsia="宋体"/>
                <w:kern w:val="0"/>
                <w:sz w:val="18"/>
                <w:szCs w:val="18"/>
                <w:highlight w:val="none"/>
              </w:rPr>
              <w:t>1112</w:t>
            </w:r>
          </w:p>
        </w:tc>
        <w:tc>
          <w:tcPr>
            <w:tcW w:w="485" w:type="dxa"/>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48</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48</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16*3</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实用大学数学</w:t>
            </w:r>
          </w:p>
        </w:tc>
        <w:tc>
          <w:tcPr>
            <w:tcW w:w="992" w:type="dxa"/>
            <w:tcMar>
              <w:top w:w="15" w:type="dxa"/>
              <w:left w:w="15" w:type="dxa"/>
              <w:bottom w:w="0" w:type="dxa"/>
              <w:right w:w="15" w:type="dxa"/>
            </w:tcMar>
            <w:vAlign w:val="center"/>
          </w:tcPr>
          <w:p>
            <w:pPr>
              <w:jc w:val="center"/>
              <w:rPr>
                <w:rFonts w:ascii="宋体" w:hAnsi="宋体" w:eastAsia="宋体"/>
                <w:sz w:val="18"/>
                <w:szCs w:val="18"/>
                <w:highlight w:val="none"/>
              </w:rPr>
            </w:pPr>
            <w:r>
              <w:rPr>
                <w:rFonts w:hint="eastAsia" w:ascii="宋体" w:hAnsi="宋体" w:eastAsia="宋体"/>
                <w:kern w:val="0"/>
                <w:sz w:val="18"/>
                <w:szCs w:val="18"/>
                <w:highlight w:val="none"/>
                <w:lang w:eastAsia="zh-CN"/>
              </w:rPr>
              <w:t>510211</w:t>
            </w:r>
            <w:r>
              <w:rPr>
                <w:rFonts w:hint="eastAsia" w:ascii="宋体" w:hAnsi="宋体" w:eastAsia="宋体"/>
                <w:kern w:val="0"/>
                <w:sz w:val="18"/>
                <w:szCs w:val="18"/>
                <w:highlight w:val="none"/>
              </w:rPr>
              <w:t>1113</w:t>
            </w:r>
          </w:p>
        </w:tc>
        <w:tc>
          <w:tcPr>
            <w:tcW w:w="485" w:type="dxa"/>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4</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56</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56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w:t>
            </w:r>
            <w:r>
              <w:rPr>
                <w:rFonts w:ascii="宋体" w:hAnsi="宋体" w:eastAsia="宋体"/>
                <w:sz w:val="18"/>
                <w:szCs w:val="18"/>
                <w:highlight w:val="none"/>
              </w:rPr>
              <w:t>4</w:t>
            </w:r>
            <w:r>
              <w:rPr>
                <w:rFonts w:hint="eastAsia" w:ascii="宋体" w:hAnsi="宋体" w:eastAsia="宋体"/>
                <w:sz w:val="18"/>
                <w:szCs w:val="18"/>
                <w:highlight w:val="none"/>
              </w:rPr>
              <w:t>*4</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体育与健康</w:t>
            </w:r>
          </w:p>
        </w:tc>
        <w:tc>
          <w:tcPr>
            <w:tcW w:w="992" w:type="dxa"/>
            <w:tcMar>
              <w:top w:w="15" w:type="dxa"/>
              <w:left w:w="15" w:type="dxa"/>
              <w:bottom w:w="0" w:type="dxa"/>
              <w:right w:w="15" w:type="dxa"/>
            </w:tcMar>
            <w:vAlign w:val="center"/>
          </w:tcPr>
          <w:p>
            <w:pPr>
              <w:jc w:val="center"/>
              <w:rPr>
                <w:rFonts w:ascii="宋体" w:hAnsi="宋体" w:eastAsia="宋体"/>
                <w:kern w:val="0"/>
                <w:sz w:val="18"/>
                <w:szCs w:val="18"/>
                <w:highlight w:val="none"/>
              </w:rPr>
            </w:pPr>
            <w:r>
              <w:rPr>
                <w:rFonts w:hint="eastAsia" w:ascii="宋体" w:hAnsi="宋体" w:eastAsia="宋体"/>
                <w:kern w:val="0"/>
                <w:sz w:val="18"/>
                <w:szCs w:val="18"/>
                <w:highlight w:val="none"/>
                <w:lang w:eastAsia="zh-CN"/>
              </w:rPr>
              <w:t>510211</w:t>
            </w:r>
            <w:r>
              <w:rPr>
                <w:rFonts w:hint="eastAsia" w:ascii="宋体" w:hAnsi="宋体" w:eastAsia="宋体"/>
                <w:kern w:val="0"/>
                <w:sz w:val="18"/>
                <w:szCs w:val="18"/>
                <w:highlight w:val="none"/>
              </w:rPr>
              <w:t>1151</w:t>
            </w:r>
          </w:p>
        </w:tc>
        <w:tc>
          <w:tcPr>
            <w:tcW w:w="485" w:type="dxa"/>
            <w:vAlign w:val="center"/>
          </w:tcPr>
          <w:p>
            <w:pPr>
              <w:spacing w:line="280" w:lineRule="exact"/>
              <w:jc w:val="center"/>
              <w:rPr>
                <w:rFonts w:ascii="宋体" w:hAnsi="宋体" w:eastAsia="宋体"/>
                <w:kern w:val="0"/>
                <w:sz w:val="18"/>
                <w:szCs w:val="18"/>
                <w:highlight w:val="none"/>
              </w:rPr>
            </w:pPr>
            <w:r>
              <w:rPr>
                <w:rFonts w:ascii="宋体" w:hAnsi="宋体" w:eastAsia="宋体"/>
                <w:kern w:val="0"/>
                <w:sz w:val="18"/>
                <w:szCs w:val="18"/>
                <w:highlight w:val="none"/>
              </w:rPr>
              <w:t>8</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kern w:val="0"/>
                <w:sz w:val="18"/>
                <w:szCs w:val="18"/>
                <w:highlight w:val="none"/>
              </w:rPr>
              <w:t>118</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8</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110</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w:t>
            </w:r>
            <w:r>
              <w:rPr>
                <w:rFonts w:ascii="宋体" w:hAnsi="宋体" w:eastAsia="宋体"/>
                <w:sz w:val="18"/>
                <w:szCs w:val="18"/>
                <w:highlight w:val="none"/>
              </w:rPr>
              <w:t>4</w:t>
            </w:r>
            <w:r>
              <w:rPr>
                <w:rFonts w:hint="eastAsia" w:ascii="宋体" w:hAnsi="宋体" w:eastAsia="宋体"/>
                <w:sz w:val="18"/>
                <w:szCs w:val="18"/>
                <w:highlight w:val="none"/>
              </w:rPr>
              <w:t>*2</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15*2</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15*2</w:t>
            </w: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15*2</w:t>
            </w: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w:t>
            </w:r>
            <w:r>
              <w:rPr>
                <w:rFonts w:ascii="宋体" w:hAnsi="宋体" w:eastAsia="宋体"/>
                <w:sz w:val="18"/>
                <w:szCs w:val="18"/>
                <w:highlight w:val="none"/>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highlight w:val="none"/>
              </w:rPr>
            </w:pPr>
          </w:p>
        </w:tc>
        <w:tc>
          <w:tcPr>
            <w:tcW w:w="427" w:type="dxa"/>
            <w:gridSpan w:val="2"/>
            <w:vMerge w:val="continue"/>
            <w:vAlign w:val="center"/>
          </w:tcPr>
          <w:p>
            <w:pPr>
              <w:spacing w:line="280" w:lineRule="exact"/>
              <w:jc w:val="center"/>
              <w:rPr>
                <w:rFonts w:ascii="宋体" w:hAnsi="宋体" w:eastAsia="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计算机应用基础</w:t>
            </w:r>
          </w:p>
        </w:tc>
        <w:tc>
          <w:tcPr>
            <w:tcW w:w="992" w:type="dxa"/>
            <w:tcMar>
              <w:top w:w="15" w:type="dxa"/>
              <w:left w:w="15" w:type="dxa"/>
              <w:bottom w:w="0" w:type="dxa"/>
              <w:right w:w="15" w:type="dxa"/>
            </w:tcMar>
            <w:vAlign w:val="center"/>
          </w:tcPr>
          <w:p>
            <w:pPr>
              <w:jc w:val="center"/>
              <w:rPr>
                <w:rFonts w:ascii="宋体" w:hAnsi="宋体" w:eastAsia="宋体"/>
                <w:sz w:val="18"/>
                <w:szCs w:val="18"/>
                <w:highlight w:val="none"/>
              </w:rPr>
            </w:pPr>
            <w:r>
              <w:rPr>
                <w:rFonts w:hint="eastAsia" w:ascii="宋体" w:hAnsi="宋体" w:eastAsia="宋体"/>
                <w:kern w:val="0"/>
                <w:sz w:val="18"/>
                <w:szCs w:val="18"/>
                <w:highlight w:val="none"/>
                <w:lang w:eastAsia="zh-CN"/>
              </w:rPr>
              <w:t>510211</w:t>
            </w:r>
            <w:r>
              <w:rPr>
                <w:rFonts w:hint="eastAsia" w:ascii="宋体" w:hAnsi="宋体" w:eastAsia="宋体"/>
                <w:kern w:val="0"/>
                <w:sz w:val="18"/>
                <w:szCs w:val="18"/>
                <w:highlight w:val="none"/>
              </w:rPr>
              <w:t>1114</w:t>
            </w:r>
          </w:p>
        </w:tc>
        <w:tc>
          <w:tcPr>
            <w:tcW w:w="485" w:type="dxa"/>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4</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kern w:val="0"/>
                <w:sz w:val="18"/>
                <w:szCs w:val="18"/>
                <w:highlight w:val="none"/>
              </w:rPr>
              <w:t>60</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30</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30</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15</w:t>
            </w:r>
            <w:r>
              <w:rPr>
                <w:rFonts w:hint="eastAsia" w:ascii="宋体" w:hAnsi="宋体" w:eastAsia="宋体"/>
                <w:sz w:val="18"/>
                <w:szCs w:val="18"/>
                <w:highlight w:val="none"/>
              </w:rPr>
              <w:t>*4</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highlight w:val="none"/>
              </w:rPr>
            </w:pPr>
          </w:p>
        </w:tc>
        <w:tc>
          <w:tcPr>
            <w:tcW w:w="427" w:type="dxa"/>
            <w:gridSpan w:val="2"/>
            <w:vMerge w:val="continue"/>
            <w:vAlign w:val="center"/>
          </w:tcPr>
          <w:p>
            <w:pPr>
              <w:spacing w:line="280" w:lineRule="exact"/>
              <w:jc w:val="center"/>
              <w:rPr>
                <w:rFonts w:ascii="宋体" w:hAnsi="宋体" w:eastAsia="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大学生创新创业基础</w:t>
            </w:r>
          </w:p>
        </w:tc>
        <w:tc>
          <w:tcPr>
            <w:tcW w:w="992" w:type="dxa"/>
            <w:tcMar>
              <w:top w:w="15" w:type="dxa"/>
              <w:left w:w="15" w:type="dxa"/>
              <w:bottom w:w="0" w:type="dxa"/>
              <w:right w:w="15" w:type="dxa"/>
            </w:tcMar>
            <w:vAlign w:val="center"/>
          </w:tcPr>
          <w:p>
            <w:pPr>
              <w:jc w:val="center"/>
              <w:rPr>
                <w:rFonts w:ascii="宋体" w:hAnsi="宋体" w:eastAsia="宋体"/>
                <w:sz w:val="18"/>
                <w:szCs w:val="18"/>
                <w:highlight w:val="none"/>
              </w:rPr>
            </w:pPr>
            <w:r>
              <w:rPr>
                <w:rFonts w:hint="eastAsia" w:ascii="宋体" w:hAnsi="宋体" w:eastAsia="宋体"/>
                <w:kern w:val="0"/>
                <w:sz w:val="18"/>
                <w:szCs w:val="18"/>
                <w:highlight w:val="none"/>
                <w:lang w:eastAsia="zh-CN"/>
              </w:rPr>
              <w:t>510211</w:t>
            </w:r>
            <w:r>
              <w:rPr>
                <w:rFonts w:hint="eastAsia" w:ascii="宋体" w:hAnsi="宋体" w:eastAsia="宋体"/>
                <w:kern w:val="0"/>
                <w:sz w:val="18"/>
                <w:szCs w:val="18"/>
                <w:highlight w:val="none"/>
              </w:rPr>
              <w:t>114</w:t>
            </w:r>
            <w:r>
              <w:rPr>
                <w:rFonts w:ascii="宋体" w:hAnsi="宋体" w:eastAsia="宋体"/>
                <w:kern w:val="0"/>
                <w:sz w:val="18"/>
                <w:szCs w:val="18"/>
                <w:highlight w:val="none"/>
              </w:rPr>
              <w:t>4</w:t>
            </w:r>
          </w:p>
        </w:tc>
        <w:tc>
          <w:tcPr>
            <w:tcW w:w="485" w:type="dxa"/>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1</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kern w:val="0"/>
                <w:sz w:val="18"/>
                <w:szCs w:val="18"/>
                <w:highlight w:val="none"/>
              </w:rPr>
              <w:t>14</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14</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14</w:t>
            </w:r>
            <w:r>
              <w:rPr>
                <w:rFonts w:hint="eastAsia" w:ascii="宋体" w:hAnsi="宋体" w:eastAsia="宋体"/>
                <w:sz w:val="18"/>
                <w:szCs w:val="18"/>
                <w:highlight w:val="none"/>
              </w:rPr>
              <w:t>*1</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highlight w:val="none"/>
              </w:rPr>
            </w:pPr>
          </w:p>
        </w:tc>
        <w:tc>
          <w:tcPr>
            <w:tcW w:w="427" w:type="dxa"/>
            <w:gridSpan w:val="2"/>
            <w:vMerge w:val="continue"/>
            <w:vAlign w:val="center"/>
          </w:tcPr>
          <w:p>
            <w:pPr>
              <w:spacing w:line="280" w:lineRule="exact"/>
              <w:jc w:val="center"/>
              <w:rPr>
                <w:rFonts w:ascii="宋体" w:hAnsi="宋体" w:eastAsia="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大学生就业指导</w:t>
            </w:r>
          </w:p>
        </w:tc>
        <w:tc>
          <w:tcPr>
            <w:tcW w:w="992" w:type="dxa"/>
            <w:tcMar>
              <w:top w:w="15" w:type="dxa"/>
              <w:left w:w="15" w:type="dxa"/>
              <w:bottom w:w="0" w:type="dxa"/>
              <w:right w:w="15" w:type="dxa"/>
            </w:tcMar>
            <w:vAlign w:val="center"/>
          </w:tcPr>
          <w:p>
            <w:pPr>
              <w:jc w:val="center"/>
              <w:rPr>
                <w:rFonts w:ascii="宋体" w:hAnsi="宋体" w:eastAsia="宋体"/>
                <w:sz w:val="18"/>
                <w:szCs w:val="18"/>
                <w:highlight w:val="none"/>
              </w:rPr>
            </w:pPr>
            <w:r>
              <w:rPr>
                <w:rFonts w:hint="eastAsia" w:ascii="宋体" w:hAnsi="宋体" w:eastAsia="宋体"/>
                <w:kern w:val="0"/>
                <w:sz w:val="18"/>
                <w:szCs w:val="18"/>
                <w:highlight w:val="none"/>
                <w:lang w:eastAsia="zh-CN"/>
              </w:rPr>
              <w:t>510211</w:t>
            </w:r>
            <w:r>
              <w:rPr>
                <w:rFonts w:hint="eastAsia" w:ascii="宋体" w:hAnsi="宋体" w:eastAsia="宋体"/>
                <w:kern w:val="0"/>
                <w:sz w:val="18"/>
                <w:szCs w:val="18"/>
                <w:highlight w:val="none"/>
              </w:rPr>
              <w:t>1152</w:t>
            </w:r>
          </w:p>
        </w:tc>
        <w:tc>
          <w:tcPr>
            <w:tcW w:w="485" w:type="dxa"/>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32</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16*1</w:t>
            </w: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highlight w:val="none"/>
              </w:rPr>
            </w:pPr>
          </w:p>
        </w:tc>
        <w:tc>
          <w:tcPr>
            <w:tcW w:w="427" w:type="dxa"/>
            <w:gridSpan w:val="2"/>
            <w:vMerge w:val="continue"/>
            <w:vAlign w:val="center"/>
          </w:tcPr>
          <w:p>
            <w:pPr>
              <w:spacing w:line="280" w:lineRule="exact"/>
              <w:jc w:val="center"/>
              <w:rPr>
                <w:rFonts w:ascii="宋体" w:hAnsi="宋体" w:eastAsia="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五粮文化育人学思践悟</w:t>
            </w:r>
          </w:p>
        </w:tc>
        <w:tc>
          <w:tcPr>
            <w:tcW w:w="992" w:type="dxa"/>
            <w:tcMar>
              <w:top w:w="15" w:type="dxa"/>
              <w:left w:w="15" w:type="dxa"/>
              <w:bottom w:w="0" w:type="dxa"/>
              <w:right w:w="15" w:type="dxa"/>
            </w:tcMar>
            <w:vAlign w:val="center"/>
          </w:tcPr>
          <w:p>
            <w:pPr>
              <w:jc w:val="center"/>
              <w:rPr>
                <w:rFonts w:ascii="宋体" w:hAnsi="宋体" w:eastAsia="宋体"/>
                <w:sz w:val="18"/>
                <w:szCs w:val="18"/>
                <w:highlight w:val="none"/>
              </w:rPr>
            </w:pPr>
            <w:r>
              <w:rPr>
                <w:rFonts w:hint="eastAsia" w:ascii="宋体" w:hAnsi="宋体" w:eastAsia="宋体"/>
                <w:kern w:val="0"/>
                <w:sz w:val="18"/>
                <w:szCs w:val="18"/>
                <w:highlight w:val="none"/>
                <w:lang w:eastAsia="zh-CN"/>
              </w:rPr>
              <w:t>510211</w:t>
            </w:r>
            <w:r>
              <w:rPr>
                <w:rFonts w:hint="eastAsia" w:ascii="宋体" w:hAnsi="宋体" w:eastAsia="宋体"/>
                <w:kern w:val="0"/>
                <w:sz w:val="18"/>
                <w:szCs w:val="18"/>
                <w:highlight w:val="none"/>
              </w:rPr>
              <w:t>114</w:t>
            </w:r>
            <w:r>
              <w:rPr>
                <w:rFonts w:ascii="宋体" w:hAnsi="宋体" w:eastAsia="宋体"/>
                <w:kern w:val="0"/>
                <w:sz w:val="18"/>
                <w:szCs w:val="18"/>
                <w:highlight w:val="none"/>
              </w:rPr>
              <w:t>5</w:t>
            </w:r>
          </w:p>
        </w:tc>
        <w:tc>
          <w:tcPr>
            <w:tcW w:w="485" w:type="dxa"/>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1</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16</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w:t>
            </w:r>
            <w:r>
              <w:rPr>
                <w:rFonts w:ascii="宋体" w:hAnsi="宋体" w:eastAsia="宋体"/>
                <w:sz w:val="18"/>
                <w:szCs w:val="18"/>
                <w:highlight w:val="none"/>
              </w:rPr>
              <w:t>4</w:t>
            </w:r>
            <w:r>
              <w:rPr>
                <w:rFonts w:hint="eastAsia" w:ascii="宋体" w:hAnsi="宋体" w:eastAsia="宋体"/>
                <w:sz w:val="18"/>
                <w:szCs w:val="18"/>
                <w:highlight w:val="none"/>
              </w:rPr>
              <w:t>*1</w:t>
            </w:r>
            <w:r>
              <w:rPr>
                <w:rFonts w:ascii="宋体" w:hAnsi="宋体" w:eastAsia="宋体"/>
                <w:sz w:val="18"/>
                <w:szCs w:val="18"/>
                <w:highlight w:val="none"/>
              </w:rPr>
              <w:t>+2</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highlight w:val="none"/>
              </w:rPr>
            </w:pPr>
          </w:p>
        </w:tc>
        <w:tc>
          <w:tcPr>
            <w:tcW w:w="427" w:type="dxa"/>
            <w:gridSpan w:val="2"/>
            <w:vMerge w:val="continue"/>
            <w:vAlign w:val="center"/>
          </w:tcPr>
          <w:p>
            <w:pPr>
              <w:spacing w:line="280" w:lineRule="exact"/>
              <w:jc w:val="center"/>
              <w:rPr>
                <w:rFonts w:ascii="宋体" w:hAnsi="宋体" w:eastAsia="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大学生职业素质修炼</w:t>
            </w:r>
          </w:p>
        </w:tc>
        <w:tc>
          <w:tcPr>
            <w:tcW w:w="992" w:type="dxa"/>
            <w:tcMar>
              <w:top w:w="15" w:type="dxa"/>
              <w:left w:w="15" w:type="dxa"/>
              <w:bottom w:w="0" w:type="dxa"/>
              <w:right w:w="15" w:type="dxa"/>
            </w:tcMar>
            <w:vAlign w:val="center"/>
          </w:tcPr>
          <w:p>
            <w:pPr>
              <w:jc w:val="center"/>
              <w:rPr>
                <w:rFonts w:ascii="宋体" w:hAnsi="宋体" w:eastAsia="宋体"/>
                <w:sz w:val="18"/>
                <w:szCs w:val="18"/>
                <w:highlight w:val="none"/>
              </w:rPr>
            </w:pPr>
            <w:r>
              <w:rPr>
                <w:rFonts w:hint="eastAsia" w:ascii="宋体" w:hAnsi="宋体" w:eastAsia="宋体"/>
                <w:kern w:val="0"/>
                <w:sz w:val="18"/>
                <w:szCs w:val="18"/>
                <w:highlight w:val="none"/>
                <w:lang w:eastAsia="zh-CN"/>
              </w:rPr>
              <w:t>510211</w:t>
            </w:r>
            <w:r>
              <w:rPr>
                <w:rFonts w:hint="eastAsia" w:ascii="宋体" w:hAnsi="宋体" w:eastAsia="宋体"/>
                <w:kern w:val="0"/>
                <w:sz w:val="18"/>
                <w:szCs w:val="18"/>
                <w:highlight w:val="none"/>
              </w:rPr>
              <w:t>114</w:t>
            </w:r>
            <w:r>
              <w:rPr>
                <w:rFonts w:ascii="宋体" w:hAnsi="宋体" w:eastAsia="宋体"/>
                <w:kern w:val="0"/>
                <w:sz w:val="18"/>
                <w:szCs w:val="18"/>
                <w:highlight w:val="none"/>
              </w:rPr>
              <w:t>6</w:t>
            </w:r>
          </w:p>
        </w:tc>
        <w:tc>
          <w:tcPr>
            <w:tcW w:w="485" w:type="dxa"/>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32</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32</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4*4</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4*4</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highlight w:val="none"/>
              </w:rPr>
            </w:pPr>
          </w:p>
        </w:tc>
        <w:tc>
          <w:tcPr>
            <w:tcW w:w="427" w:type="dxa"/>
            <w:gridSpan w:val="2"/>
            <w:vMerge w:val="continue"/>
            <w:vAlign w:val="center"/>
          </w:tcPr>
          <w:p>
            <w:pPr>
              <w:spacing w:line="280" w:lineRule="exact"/>
              <w:jc w:val="center"/>
              <w:rPr>
                <w:rFonts w:ascii="宋体" w:hAnsi="宋体" w:eastAsia="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大学生安全教育</w:t>
            </w:r>
          </w:p>
        </w:tc>
        <w:tc>
          <w:tcPr>
            <w:tcW w:w="992" w:type="dxa"/>
            <w:tcMar>
              <w:top w:w="15" w:type="dxa"/>
              <w:left w:w="15" w:type="dxa"/>
              <w:bottom w:w="0" w:type="dxa"/>
              <w:right w:w="15" w:type="dxa"/>
            </w:tcMar>
            <w:vAlign w:val="center"/>
          </w:tcPr>
          <w:p>
            <w:pPr>
              <w:jc w:val="center"/>
              <w:rPr>
                <w:rFonts w:ascii="宋体" w:hAnsi="宋体" w:eastAsia="宋体"/>
                <w:kern w:val="0"/>
                <w:sz w:val="18"/>
                <w:szCs w:val="18"/>
                <w:highlight w:val="none"/>
              </w:rPr>
            </w:pPr>
            <w:r>
              <w:rPr>
                <w:rFonts w:hint="eastAsia" w:ascii="宋体" w:hAnsi="宋体" w:eastAsia="宋体"/>
                <w:kern w:val="0"/>
                <w:sz w:val="18"/>
                <w:szCs w:val="18"/>
                <w:highlight w:val="none"/>
                <w:lang w:eastAsia="zh-CN"/>
              </w:rPr>
              <w:t>510211</w:t>
            </w:r>
            <w:r>
              <w:rPr>
                <w:rFonts w:hint="eastAsia" w:ascii="宋体" w:hAnsi="宋体" w:eastAsia="宋体"/>
                <w:kern w:val="0"/>
                <w:sz w:val="18"/>
                <w:szCs w:val="18"/>
                <w:highlight w:val="none"/>
              </w:rPr>
              <w:t>114</w:t>
            </w:r>
            <w:r>
              <w:rPr>
                <w:rFonts w:ascii="宋体" w:hAnsi="宋体" w:eastAsia="宋体"/>
                <w:kern w:val="0"/>
                <w:sz w:val="18"/>
                <w:szCs w:val="18"/>
                <w:highlight w:val="none"/>
              </w:rPr>
              <w:t>7</w:t>
            </w:r>
          </w:p>
        </w:tc>
        <w:tc>
          <w:tcPr>
            <w:tcW w:w="485" w:type="dxa"/>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w:t>
            </w:r>
            <w:r>
              <w:rPr>
                <w:rFonts w:ascii="宋体" w:hAnsi="宋体" w:eastAsia="宋体"/>
                <w:sz w:val="18"/>
                <w:szCs w:val="18"/>
                <w:highlight w:val="none"/>
              </w:rPr>
              <w:t>6</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w:t>
            </w:r>
            <w:r>
              <w:rPr>
                <w:rFonts w:ascii="宋体" w:hAnsi="宋体" w:eastAsia="宋体"/>
                <w:sz w:val="18"/>
                <w:szCs w:val="18"/>
                <w:highlight w:val="none"/>
              </w:rPr>
              <w:t>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14*1+2</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highlight w:val="none"/>
              </w:rPr>
            </w:pPr>
          </w:p>
        </w:tc>
        <w:tc>
          <w:tcPr>
            <w:tcW w:w="427" w:type="dxa"/>
            <w:gridSpan w:val="2"/>
            <w:vMerge w:val="continue"/>
            <w:vAlign w:val="center"/>
          </w:tcPr>
          <w:p>
            <w:pPr>
              <w:spacing w:line="280" w:lineRule="exact"/>
              <w:jc w:val="center"/>
              <w:rPr>
                <w:rFonts w:ascii="宋体" w:hAnsi="宋体" w:eastAsia="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大学生健康教育</w:t>
            </w:r>
          </w:p>
        </w:tc>
        <w:tc>
          <w:tcPr>
            <w:tcW w:w="992" w:type="dxa"/>
            <w:tcMar>
              <w:top w:w="15" w:type="dxa"/>
              <w:left w:w="15" w:type="dxa"/>
              <w:bottom w:w="0" w:type="dxa"/>
              <w:right w:w="15" w:type="dxa"/>
            </w:tcMar>
            <w:vAlign w:val="center"/>
          </w:tcPr>
          <w:p>
            <w:pPr>
              <w:jc w:val="center"/>
              <w:rPr>
                <w:rFonts w:ascii="宋体" w:hAnsi="宋体" w:eastAsia="宋体"/>
                <w:kern w:val="0"/>
                <w:sz w:val="18"/>
                <w:szCs w:val="18"/>
                <w:highlight w:val="none"/>
              </w:rPr>
            </w:pPr>
            <w:r>
              <w:rPr>
                <w:rFonts w:hint="eastAsia" w:ascii="宋体" w:hAnsi="宋体" w:eastAsia="宋体"/>
                <w:kern w:val="0"/>
                <w:sz w:val="18"/>
                <w:szCs w:val="18"/>
                <w:highlight w:val="none"/>
                <w:lang w:eastAsia="zh-CN"/>
              </w:rPr>
              <w:t>510211</w:t>
            </w:r>
            <w:r>
              <w:rPr>
                <w:rFonts w:hint="eastAsia" w:ascii="宋体" w:hAnsi="宋体" w:eastAsia="宋体"/>
                <w:kern w:val="0"/>
                <w:sz w:val="18"/>
                <w:szCs w:val="18"/>
                <w:highlight w:val="none"/>
              </w:rPr>
              <w:t>114</w:t>
            </w:r>
            <w:r>
              <w:rPr>
                <w:rFonts w:ascii="宋体" w:hAnsi="宋体" w:eastAsia="宋体"/>
                <w:kern w:val="0"/>
                <w:sz w:val="18"/>
                <w:szCs w:val="18"/>
                <w:highlight w:val="none"/>
              </w:rPr>
              <w:t>8</w:t>
            </w:r>
          </w:p>
        </w:tc>
        <w:tc>
          <w:tcPr>
            <w:tcW w:w="485" w:type="dxa"/>
            <w:tcBorders>
              <w:bottom w:val="single" w:color="auto" w:sz="4" w:space="0"/>
            </w:tcBorders>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562"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w:t>
            </w:r>
            <w:r>
              <w:rPr>
                <w:rFonts w:ascii="宋体" w:hAnsi="宋体" w:eastAsia="宋体"/>
                <w:sz w:val="18"/>
                <w:szCs w:val="18"/>
                <w:highlight w:val="none"/>
              </w:rPr>
              <w:t>6</w:t>
            </w:r>
          </w:p>
        </w:tc>
        <w:tc>
          <w:tcPr>
            <w:tcW w:w="41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w:t>
            </w:r>
            <w:r>
              <w:rPr>
                <w:rFonts w:ascii="宋体" w:hAnsi="宋体" w:eastAsia="宋体"/>
                <w:sz w:val="18"/>
                <w:szCs w:val="18"/>
                <w:highlight w:val="none"/>
              </w:rPr>
              <w:t>6</w:t>
            </w:r>
          </w:p>
        </w:tc>
        <w:tc>
          <w:tcPr>
            <w:tcW w:w="49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9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00"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16*1</w:t>
            </w:r>
          </w:p>
        </w:tc>
        <w:tc>
          <w:tcPr>
            <w:tcW w:w="458"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2"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7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30"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highlight w:val="none"/>
              </w:rPr>
            </w:pPr>
          </w:p>
        </w:tc>
        <w:tc>
          <w:tcPr>
            <w:tcW w:w="427" w:type="dxa"/>
            <w:gridSpan w:val="2"/>
            <w:vMerge w:val="continue"/>
            <w:vAlign w:val="center"/>
          </w:tcPr>
          <w:p>
            <w:pPr>
              <w:spacing w:line="280" w:lineRule="exact"/>
              <w:jc w:val="center"/>
              <w:rPr>
                <w:rFonts w:ascii="宋体" w:hAnsi="宋体" w:eastAsia="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第二</w:t>
            </w:r>
            <w:r>
              <w:rPr>
                <w:rFonts w:ascii="宋体" w:hAnsi="宋体" w:eastAsia="宋体"/>
                <w:kern w:val="0"/>
                <w:sz w:val="18"/>
                <w:szCs w:val="18"/>
                <w:highlight w:val="none"/>
              </w:rPr>
              <w:t>课堂学</w:t>
            </w:r>
            <w:r>
              <w:rPr>
                <w:rFonts w:hint="eastAsia" w:ascii="宋体" w:hAnsi="宋体" w:eastAsia="宋体"/>
                <w:kern w:val="0"/>
                <w:sz w:val="18"/>
                <w:szCs w:val="18"/>
                <w:highlight w:val="none"/>
              </w:rPr>
              <w:t>分</w:t>
            </w:r>
            <w:r>
              <w:rPr>
                <w:rFonts w:ascii="宋体" w:hAnsi="宋体" w:eastAsia="宋体"/>
                <w:kern w:val="0"/>
                <w:sz w:val="18"/>
                <w:szCs w:val="18"/>
                <w:highlight w:val="none"/>
              </w:rPr>
              <w:t>（</w:t>
            </w:r>
            <w:r>
              <w:rPr>
                <w:rFonts w:hint="eastAsia" w:ascii="宋体" w:hAnsi="宋体" w:eastAsia="宋体"/>
                <w:kern w:val="0"/>
                <w:sz w:val="18"/>
                <w:szCs w:val="18"/>
                <w:highlight w:val="none"/>
              </w:rPr>
              <w:t>创新创业实践</w:t>
            </w:r>
            <w:r>
              <w:rPr>
                <w:rFonts w:ascii="宋体" w:hAnsi="宋体" w:eastAsia="宋体"/>
                <w:kern w:val="0"/>
                <w:sz w:val="18"/>
                <w:szCs w:val="18"/>
                <w:highlight w:val="none"/>
              </w:rPr>
              <w:t>）</w:t>
            </w:r>
          </w:p>
        </w:tc>
        <w:tc>
          <w:tcPr>
            <w:tcW w:w="992" w:type="dxa"/>
            <w:tcMar>
              <w:top w:w="15" w:type="dxa"/>
              <w:left w:w="15" w:type="dxa"/>
              <w:bottom w:w="0" w:type="dxa"/>
              <w:right w:w="15" w:type="dxa"/>
            </w:tcMar>
            <w:vAlign w:val="center"/>
          </w:tcPr>
          <w:p>
            <w:pPr>
              <w:jc w:val="center"/>
              <w:rPr>
                <w:rFonts w:ascii="宋体" w:hAnsi="宋体" w:eastAsia="宋体"/>
                <w:sz w:val="18"/>
                <w:szCs w:val="18"/>
                <w:highlight w:val="none"/>
              </w:rPr>
            </w:pPr>
            <w:r>
              <w:rPr>
                <w:rFonts w:hint="eastAsia" w:ascii="宋体" w:hAnsi="宋体" w:eastAsia="宋体"/>
                <w:kern w:val="0"/>
                <w:sz w:val="18"/>
                <w:szCs w:val="18"/>
                <w:highlight w:val="none"/>
                <w:lang w:eastAsia="zh-CN"/>
              </w:rPr>
              <w:t>510211</w:t>
            </w:r>
            <w:r>
              <w:rPr>
                <w:rFonts w:hint="eastAsia" w:ascii="宋体" w:hAnsi="宋体" w:eastAsia="宋体"/>
                <w:kern w:val="0"/>
                <w:sz w:val="18"/>
                <w:szCs w:val="18"/>
                <w:highlight w:val="none"/>
              </w:rPr>
              <w:t>1160</w:t>
            </w:r>
          </w:p>
        </w:tc>
        <w:tc>
          <w:tcPr>
            <w:tcW w:w="485" w:type="dxa"/>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highlight w:val="none"/>
              </w:rPr>
            </w:pPr>
          </w:p>
        </w:tc>
        <w:tc>
          <w:tcPr>
            <w:tcW w:w="427" w:type="dxa"/>
            <w:gridSpan w:val="2"/>
            <w:vMerge w:val="continue"/>
            <w:vAlign w:val="center"/>
          </w:tcPr>
          <w:p>
            <w:pPr>
              <w:spacing w:line="280" w:lineRule="exact"/>
              <w:jc w:val="center"/>
              <w:rPr>
                <w:rFonts w:ascii="宋体" w:hAnsi="宋体" w:eastAsia="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劳动教育</w:t>
            </w:r>
          </w:p>
        </w:tc>
        <w:tc>
          <w:tcPr>
            <w:tcW w:w="992" w:type="dxa"/>
            <w:tcMar>
              <w:top w:w="15" w:type="dxa"/>
              <w:left w:w="15" w:type="dxa"/>
              <w:bottom w:w="0" w:type="dxa"/>
              <w:right w:w="15" w:type="dxa"/>
            </w:tcMar>
            <w:vAlign w:val="center"/>
          </w:tcPr>
          <w:p>
            <w:pPr>
              <w:jc w:val="center"/>
              <w:rPr>
                <w:rFonts w:ascii="宋体" w:hAnsi="宋体" w:eastAsia="宋体"/>
                <w:sz w:val="18"/>
                <w:szCs w:val="18"/>
                <w:highlight w:val="none"/>
              </w:rPr>
            </w:pPr>
            <w:r>
              <w:rPr>
                <w:rFonts w:hint="eastAsia" w:ascii="宋体" w:hAnsi="宋体" w:eastAsia="宋体"/>
                <w:kern w:val="0"/>
                <w:sz w:val="18"/>
                <w:szCs w:val="18"/>
                <w:highlight w:val="none"/>
                <w:lang w:eastAsia="zh-CN"/>
              </w:rPr>
              <w:t>510211</w:t>
            </w:r>
            <w:r>
              <w:rPr>
                <w:rFonts w:hint="eastAsia" w:ascii="宋体" w:hAnsi="宋体" w:eastAsia="宋体"/>
                <w:kern w:val="0"/>
                <w:sz w:val="18"/>
                <w:szCs w:val="18"/>
                <w:highlight w:val="none"/>
              </w:rPr>
              <w:t>1161</w:t>
            </w:r>
          </w:p>
        </w:tc>
        <w:tc>
          <w:tcPr>
            <w:tcW w:w="485" w:type="dxa"/>
            <w:vAlign w:val="center"/>
          </w:tcPr>
          <w:p>
            <w:pPr>
              <w:spacing w:line="280" w:lineRule="exact"/>
              <w:jc w:val="center"/>
              <w:rPr>
                <w:rFonts w:ascii="宋体" w:hAnsi="宋体" w:eastAsia="@仿宋_GB2312" w:cs="@仿宋_GB2312"/>
                <w:kern w:val="2"/>
                <w:sz w:val="18"/>
                <w:szCs w:val="18"/>
                <w:highlight w:val="none"/>
                <w:lang w:val="en-US" w:eastAsia="zh-CN" w:bidi="ar-SA"/>
              </w:rPr>
            </w:pPr>
            <w:r>
              <w:rPr>
                <w:rFonts w:hint="eastAsia" w:ascii="宋体" w:hAnsi="宋体"/>
                <w:sz w:val="18"/>
                <w:szCs w:val="18"/>
                <w:highlight w:val="none"/>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ascii="宋体" w:hAnsi="宋体" w:eastAsia="宋体"/>
                <w:sz w:val="18"/>
                <w:szCs w:val="18"/>
                <w:highlight w:val="none"/>
              </w:rPr>
              <w:t>32</w:t>
            </w:r>
          </w:p>
        </w:tc>
        <w:tc>
          <w:tcPr>
            <w:tcW w:w="417"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ascii="宋体" w:hAnsi="宋体" w:eastAsia="宋体"/>
                <w:sz w:val="18"/>
                <w:szCs w:val="18"/>
                <w:highlight w:val="none"/>
              </w:rPr>
              <w:t>20</w:t>
            </w:r>
          </w:p>
        </w:tc>
        <w:tc>
          <w:tcPr>
            <w:tcW w:w="495"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12</w:t>
            </w:r>
          </w:p>
        </w:tc>
        <w:tc>
          <w:tcPr>
            <w:tcW w:w="495"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14*1+2</w:t>
            </w:r>
          </w:p>
        </w:tc>
        <w:tc>
          <w:tcPr>
            <w:tcW w:w="50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16*1</w:t>
            </w:r>
          </w:p>
        </w:tc>
        <w:tc>
          <w:tcPr>
            <w:tcW w:w="43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highlight w:val="none"/>
                <w:lang w:val="en-US" w:eastAsia="zh-CN" w:bidi="ar-SA"/>
              </w:rPr>
            </w:pPr>
            <w:r>
              <w:rPr>
                <w:rFonts w:hint="eastAsia" w:ascii="宋体" w:hAnsi="宋体" w:eastAsia="宋体"/>
                <w:sz w:val="18"/>
                <w:szCs w:val="18"/>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highlight w:val="none"/>
              </w:rPr>
            </w:pPr>
          </w:p>
        </w:tc>
        <w:tc>
          <w:tcPr>
            <w:tcW w:w="427" w:type="dxa"/>
            <w:gridSpan w:val="2"/>
            <w:vMerge w:val="continue"/>
            <w:vAlign w:val="center"/>
          </w:tcPr>
          <w:p>
            <w:pPr>
              <w:spacing w:line="280" w:lineRule="exact"/>
              <w:jc w:val="center"/>
              <w:rPr>
                <w:rFonts w:ascii="宋体" w:hAnsi="宋体" w:eastAsia="宋体"/>
                <w:sz w:val="18"/>
                <w:szCs w:val="18"/>
                <w:highlight w:val="none"/>
              </w:rPr>
            </w:pPr>
          </w:p>
        </w:tc>
        <w:tc>
          <w:tcPr>
            <w:tcW w:w="347" w:type="dxa"/>
            <w:tcMar>
              <w:top w:w="15" w:type="dxa"/>
              <w:left w:w="15" w:type="dxa"/>
              <w:bottom w:w="0" w:type="dxa"/>
              <w:right w:w="15" w:type="dxa"/>
            </w:tcMar>
            <w:vAlign w:val="center"/>
          </w:tcPr>
          <w:p>
            <w:pPr>
              <w:pStyle w:val="26"/>
              <w:numPr>
                <w:ilvl w:val="0"/>
                <w:numId w:val="7"/>
              </w:numPr>
              <w:spacing w:line="280" w:lineRule="exact"/>
              <w:ind w:firstLineChars="0"/>
              <w:jc w:val="center"/>
              <w:rPr>
                <w:rFonts w:ascii="宋体" w:hAnsi="宋体" w:eastAsia="宋体"/>
                <w:sz w:val="18"/>
                <w:szCs w:val="18"/>
                <w:highlight w:val="none"/>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第二</w:t>
            </w:r>
            <w:r>
              <w:rPr>
                <w:rFonts w:ascii="宋体" w:hAnsi="宋体" w:eastAsia="宋体"/>
                <w:kern w:val="0"/>
                <w:sz w:val="18"/>
                <w:szCs w:val="18"/>
                <w:highlight w:val="none"/>
              </w:rPr>
              <w:t>课堂学分（</w:t>
            </w:r>
            <w:r>
              <w:rPr>
                <w:rFonts w:hint="eastAsia" w:ascii="宋体" w:hAnsi="宋体" w:eastAsia="宋体"/>
                <w:kern w:val="0"/>
                <w:sz w:val="18"/>
                <w:szCs w:val="18"/>
                <w:highlight w:val="none"/>
              </w:rPr>
              <w:t>其他</w:t>
            </w:r>
            <w:r>
              <w:rPr>
                <w:rFonts w:ascii="宋体" w:hAnsi="宋体" w:eastAsia="宋体"/>
                <w:kern w:val="0"/>
                <w:sz w:val="18"/>
                <w:szCs w:val="18"/>
                <w:highlight w:val="none"/>
              </w:rPr>
              <w:t>）</w:t>
            </w:r>
          </w:p>
        </w:tc>
        <w:tc>
          <w:tcPr>
            <w:tcW w:w="992" w:type="dxa"/>
            <w:tcMar>
              <w:top w:w="15" w:type="dxa"/>
              <w:left w:w="15" w:type="dxa"/>
              <w:bottom w:w="0" w:type="dxa"/>
              <w:right w:w="15" w:type="dxa"/>
            </w:tcMar>
            <w:vAlign w:val="center"/>
          </w:tcPr>
          <w:p>
            <w:pPr>
              <w:jc w:val="center"/>
              <w:rPr>
                <w:rFonts w:ascii="宋体" w:hAnsi="宋体" w:eastAsia="宋体"/>
                <w:sz w:val="18"/>
                <w:szCs w:val="18"/>
                <w:highlight w:val="none"/>
              </w:rPr>
            </w:pPr>
            <w:r>
              <w:rPr>
                <w:rFonts w:hint="eastAsia" w:ascii="宋体" w:hAnsi="宋体" w:eastAsia="宋体"/>
                <w:kern w:val="0"/>
                <w:sz w:val="18"/>
                <w:szCs w:val="18"/>
                <w:highlight w:val="none"/>
                <w:lang w:eastAsia="zh-CN"/>
              </w:rPr>
              <w:t>510211</w:t>
            </w:r>
            <w:r>
              <w:rPr>
                <w:rFonts w:hint="eastAsia" w:ascii="宋体" w:hAnsi="宋体" w:eastAsia="宋体"/>
                <w:kern w:val="0"/>
                <w:sz w:val="18"/>
                <w:szCs w:val="18"/>
                <w:highlight w:val="none"/>
              </w:rPr>
              <w:t>1162</w:t>
            </w:r>
          </w:p>
        </w:tc>
        <w:tc>
          <w:tcPr>
            <w:tcW w:w="485" w:type="dxa"/>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6</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34" w:type="dxa"/>
            <w:vMerge w:val="continue"/>
            <w:vAlign w:val="center"/>
          </w:tcPr>
          <w:p>
            <w:pPr>
              <w:spacing w:line="280" w:lineRule="exact"/>
              <w:jc w:val="center"/>
              <w:rPr>
                <w:rFonts w:ascii="宋体" w:hAnsi="宋体" w:eastAsia="宋体"/>
                <w:sz w:val="18"/>
                <w:szCs w:val="18"/>
                <w:highlight w:val="none"/>
              </w:rPr>
            </w:pPr>
          </w:p>
        </w:tc>
        <w:tc>
          <w:tcPr>
            <w:tcW w:w="2333" w:type="dxa"/>
            <w:gridSpan w:val="4"/>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小计</w:t>
            </w:r>
          </w:p>
        </w:tc>
        <w:tc>
          <w:tcPr>
            <w:tcW w:w="992"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85" w:type="dxa"/>
            <w:tcBorders>
              <w:top w:val="single" w:color="auto" w:sz="4" w:space="0"/>
              <w:left w:val="nil"/>
              <w:bottom w:val="single" w:color="auto" w:sz="4" w:space="0"/>
              <w:right w:val="single" w:color="auto" w:sz="4" w:space="0"/>
            </w:tcBorders>
            <w:shd w:val="clear" w:color="auto" w:fill="auto"/>
            <w:vAlign w:val="bottom"/>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59.5</w:t>
            </w:r>
          </w:p>
        </w:tc>
        <w:tc>
          <w:tcPr>
            <w:tcW w:w="5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eastAsia="宋体" w:cs="Times New Roman"/>
                <w:sz w:val="18"/>
                <w:szCs w:val="18"/>
                <w:highlight w:val="none"/>
                <w:lang w:val="en-US" w:eastAsia="zh-CN"/>
              </w:rPr>
              <w:t>856</w:t>
            </w:r>
          </w:p>
        </w:tc>
        <w:tc>
          <w:tcPr>
            <w:tcW w:w="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eastAsia="宋体" w:cs="Times New Roman"/>
                <w:sz w:val="18"/>
                <w:szCs w:val="18"/>
                <w:highlight w:val="none"/>
                <w:lang w:val="en-US" w:eastAsia="zh-CN"/>
              </w:rPr>
              <w:t>544</w:t>
            </w:r>
          </w:p>
        </w:tc>
        <w:tc>
          <w:tcPr>
            <w:tcW w:w="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eastAsia="宋体" w:cs="Times New Roman"/>
                <w:sz w:val="18"/>
                <w:szCs w:val="18"/>
                <w:highlight w:val="none"/>
                <w:lang w:val="en-US" w:eastAsia="zh-CN"/>
              </w:rPr>
              <w:t>312</w:t>
            </w:r>
          </w:p>
        </w:tc>
        <w:tc>
          <w:tcPr>
            <w:tcW w:w="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eastAsia="宋体" w:cs="Times New Roman"/>
                <w:sz w:val="18"/>
                <w:szCs w:val="18"/>
                <w:highlight w:val="none"/>
                <w:lang w:val="en-US" w:eastAsia="zh-CN"/>
              </w:rPr>
              <w:t>18</w:t>
            </w:r>
          </w:p>
        </w:tc>
        <w:tc>
          <w:tcPr>
            <w:tcW w:w="5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eastAsia="宋体" w:cs="Times New Roman"/>
                <w:sz w:val="18"/>
                <w:szCs w:val="18"/>
                <w:highlight w:val="none"/>
                <w:lang w:val="en-US" w:eastAsia="zh-CN"/>
              </w:rPr>
              <w:t>17</w:t>
            </w:r>
          </w:p>
        </w:tc>
        <w:tc>
          <w:tcPr>
            <w:tcW w:w="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hint="eastAsia" w:ascii="宋体" w:hAnsi="宋体" w:eastAsia="宋体" w:cs="@仿宋_GB2312"/>
                <w:kern w:val="2"/>
                <w:sz w:val="18"/>
                <w:szCs w:val="18"/>
                <w:highlight w:val="none"/>
                <w:lang w:val="en-US" w:eastAsia="zh-CN" w:bidi="ar-SA"/>
              </w:rPr>
            </w:pPr>
            <w:r>
              <w:rPr>
                <w:rFonts w:hint="eastAsia" w:ascii="宋体" w:hAnsi="宋体"/>
                <w:sz w:val="18"/>
                <w:szCs w:val="18"/>
                <w:highlight w:val="none"/>
                <w:lang w:val="en-US" w:eastAsia="zh-CN"/>
              </w:rPr>
              <w:t>3</w:t>
            </w:r>
          </w:p>
        </w:tc>
        <w:tc>
          <w:tcPr>
            <w:tcW w:w="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仿宋_GB2312" w:cs="@仿宋_GB2312"/>
                <w:kern w:val="2"/>
                <w:sz w:val="18"/>
                <w:szCs w:val="18"/>
                <w:highlight w:val="none"/>
                <w:lang w:val="en-US" w:eastAsia="zh-CN" w:bidi="ar-SA"/>
              </w:rPr>
            </w:pPr>
            <w:r>
              <w:rPr>
                <w:rFonts w:hint="eastAsia" w:ascii="宋体" w:hAnsi="宋体"/>
                <w:sz w:val="18"/>
                <w:szCs w:val="18"/>
                <w:highlight w:val="none"/>
              </w:rPr>
              <w:t>3</w:t>
            </w: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30" w:type="dxa"/>
            <w:tcBorders>
              <w:top w:val="single" w:color="auto" w:sz="4" w:space="0"/>
              <w:left w:val="single" w:color="auto" w:sz="4" w:space="0"/>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8"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必修课</w:t>
            </w:r>
          </w:p>
        </w:tc>
        <w:tc>
          <w:tcPr>
            <w:tcW w:w="406" w:type="dxa"/>
            <w:vMerge w:val="restart"/>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平台共享课</w:t>
            </w:r>
          </w:p>
        </w:tc>
        <w:tc>
          <w:tcPr>
            <w:tcW w:w="347"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21</w:t>
            </w:r>
          </w:p>
        </w:tc>
        <w:tc>
          <w:tcPr>
            <w:tcW w:w="1559"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物联网入门</w:t>
            </w:r>
          </w:p>
        </w:tc>
        <w:tc>
          <w:tcPr>
            <w:tcW w:w="992"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kern w:val="0"/>
                <w:sz w:val="18"/>
                <w:szCs w:val="18"/>
                <w:highlight w:val="none"/>
                <w:lang w:val="en-US" w:eastAsia="zh-CN"/>
              </w:rPr>
            </w:pPr>
            <w:r>
              <w:rPr>
                <w:rFonts w:hint="eastAsia" w:ascii="宋体" w:hAnsi="宋体" w:eastAsia="宋体"/>
                <w:kern w:val="0"/>
                <w:sz w:val="18"/>
                <w:szCs w:val="18"/>
                <w:highlight w:val="none"/>
              </w:rPr>
              <w:t>51</w:t>
            </w:r>
            <w:r>
              <w:rPr>
                <w:rFonts w:hint="eastAsia" w:ascii="宋体" w:hAnsi="宋体" w:eastAsia="宋体"/>
                <w:kern w:val="0"/>
                <w:sz w:val="18"/>
                <w:szCs w:val="18"/>
                <w:highlight w:val="none"/>
                <w:lang w:val="en-US" w:eastAsia="zh-CN"/>
              </w:rPr>
              <w:t>02111212</w:t>
            </w:r>
          </w:p>
        </w:tc>
        <w:tc>
          <w:tcPr>
            <w:tcW w:w="485"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3.5</w:t>
            </w:r>
          </w:p>
        </w:tc>
        <w:tc>
          <w:tcPr>
            <w:tcW w:w="562"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60</w:t>
            </w:r>
          </w:p>
        </w:tc>
        <w:tc>
          <w:tcPr>
            <w:tcW w:w="417"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30</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30</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15*4</w:t>
            </w:r>
          </w:p>
        </w:tc>
        <w:tc>
          <w:tcPr>
            <w:tcW w:w="500"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32"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77"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330"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3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06" w:type="dxa"/>
            <w:vMerge w:val="continue"/>
            <w:shd w:val="clear" w:color="auto" w:fill="auto"/>
            <w:vAlign w:val="center"/>
          </w:tcPr>
          <w:p>
            <w:pPr>
              <w:spacing w:line="280" w:lineRule="exact"/>
              <w:jc w:val="center"/>
              <w:rPr>
                <w:rFonts w:ascii="宋体" w:hAnsi="宋体" w:eastAsia="宋体"/>
                <w:kern w:val="0"/>
                <w:sz w:val="18"/>
                <w:szCs w:val="18"/>
                <w:highlight w:val="none"/>
              </w:rPr>
            </w:pPr>
          </w:p>
        </w:tc>
        <w:tc>
          <w:tcPr>
            <w:tcW w:w="347"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22</w:t>
            </w:r>
          </w:p>
        </w:tc>
        <w:tc>
          <w:tcPr>
            <w:tcW w:w="1559"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物联网组网技术</w:t>
            </w:r>
          </w:p>
        </w:tc>
        <w:tc>
          <w:tcPr>
            <w:tcW w:w="992"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kern w:val="0"/>
                <w:sz w:val="18"/>
                <w:szCs w:val="18"/>
                <w:highlight w:val="none"/>
                <w:lang w:val="en-US" w:eastAsia="zh-CN"/>
              </w:rPr>
            </w:pPr>
            <w:r>
              <w:rPr>
                <w:rFonts w:hint="eastAsia" w:ascii="宋体" w:hAnsi="宋体" w:eastAsia="宋体"/>
                <w:kern w:val="0"/>
                <w:sz w:val="18"/>
                <w:szCs w:val="18"/>
                <w:highlight w:val="none"/>
              </w:rPr>
              <w:t>5102</w:t>
            </w:r>
            <w:r>
              <w:rPr>
                <w:rFonts w:hint="eastAsia" w:ascii="宋体" w:hAnsi="宋体" w:eastAsia="宋体"/>
                <w:kern w:val="0"/>
                <w:sz w:val="18"/>
                <w:szCs w:val="18"/>
                <w:highlight w:val="none"/>
                <w:lang w:val="en-US" w:eastAsia="zh-CN"/>
              </w:rPr>
              <w:t>111213</w:t>
            </w:r>
          </w:p>
        </w:tc>
        <w:tc>
          <w:tcPr>
            <w:tcW w:w="485"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4</w:t>
            </w:r>
          </w:p>
        </w:tc>
        <w:tc>
          <w:tcPr>
            <w:tcW w:w="562"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68</w:t>
            </w:r>
          </w:p>
        </w:tc>
        <w:tc>
          <w:tcPr>
            <w:tcW w:w="417"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34</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34</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500"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17*4</w:t>
            </w:r>
          </w:p>
        </w:tc>
        <w:tc>
          <w:tcPr>
            <w:tcW w:w="4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32"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77"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330"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3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06" w:type="dxa"/>
            <w:vMerge w:val="continue"/>
            <w:shd w:val="clear" w:color="auto" w:fill="auto"/>
            <w:vAlign w:val="center"/>
          </w:tcPr>
          <w:p>
            <w:pPr>
              <w:spacing w:line="280" w:lineRule="exact"/>
              <w:jc w:val="center"/>
              <w:rPr>
                <w:rFonts w:ascii="宋体" w:hAnsi="宋体" w:eastAsia="宋体"/>
                <w:kern w:val="0"/>
                <w:sz w:val="18"/>
                <w:szCs w:val="18"/>
                <w:highlight w:val="none"/>
              </w:rPr>
            </w:pPr>
          </w:p>
        </w:tc>
        <w:tc>
          <w:tcPr>
            <w:tcW w:w="347"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23</w:t>
            </w:r>
          </w:p>
        </w:tc>
        <w:tc>
          <w:tcPr>
            <w:tcW w:w="1559"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数据库技术</w:t>
            </w:r>
          </w:p>
        </w:tc>
        <w:tc>
          <w:tcPr>
            <w:tcW w:w="992"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kern w:val="0"/>
                <w:sz w:val="18"/>
                <w:szCs w:val="18"/>
                <w:highlight w:val="none"/>
                <w:lang w:val="en-US" w:eastAsia="zh-CN"/>
              </w:rPr>
            </w:pPr>
            <w:r>
              <w:rPr>
                <w:rFonts w:hint="eastAsia" w:ascii="宋体" w:hAnsi="宋体" w:eastAsia="宋体"/>
                <w:kern w:val="0"/>
                <w:sz w:val="18"/>
                <w:szCs w:val="18"/>
                <w:highlight w:val="none"/>
              </w:rPr>
              <w:t>5102</w:t>
            </w:r>
            <w:r>
              <w:rPr>
                <w:rFonts w:hint="eastAsia" w:ascii="宋体" w:hAnsi="宋体" w:eastAsia="宋体"/>
                <w:kern w:val="0"/>
                <w:sz w:val="18"/>
                <w:szCs w:val="18"/>
                <w:highlight w:val="none"/>
                <w:lang w:val="en-US" w:eastAsia="zh-CN"/>
              </w:rPr>
              <w:t>111214</w:t>
            </w:r>
          </w:p>
        </w:tc>
        <w:tc>
          <w:tcPr>
            <w:tcW w:w="485"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yellow"/>
              </w:rPr>
              <w:t>4</w:t>
            </w:r>
          </w:p>
        </w:tc>
        <w:tc>
          <w:tcPr>
            <w:tcW w:w="562"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68</w:t>
            </w:r>
          </w:p>
        </w:tc>
        <w:tc>
          <w:tcPr>
            <w:tcW w:w="417"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34</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34</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500"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17*4</w:t>
            </w:r>
          </w:p>
        </w:tc>
        <w:tc>
          <w:tcPr>
            <w:tcW w:w="4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32"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77"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330"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3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06" w:type="dxa"/>
            <w:vMerge w:val="continue"/>
            <w:shd w:val="clear" w:color="auto" w:fill="auto"/>
            <w:vAlign w:val="center"/>
          </w:tcPr>
          <w:p>
            <w:pPr>
              <w:spacing w:line="280" w:lineRule="exact"/>
              <w:jc w:val="center"/>
              <w:rPr>
                <w:rFonts w:ascii="宋体" w:hAnsi="宋体" w:eastAsia="宋体"/>
                <w:kern w:val="0"/>
                <w:sz w:val="18"/>
                <w:szCs w:val="18"/>
                <w:highlight w:val="none"/>
              </w:rPr>
            </w:pPr>
          </w:p>
        </w:tc>
        <w:tc>
          <w:tcPr>
            <w:tcW w:w="347"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24</w:t>
            </w:r>
          </w:p>
        </w:tc>
        <w:tc>
          <w:tcPr>
            <w:tcW w:w="1559"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Linux操作系统</w:t>
            </w:r>
          </w:p>
        </w:tc>
        <w:tc>
          <w:tcPr>
            <w:tcW w:w="992"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kern w:val="0"/>
                <w:sz w:val="18"/>
                <w:szCs w:val="18"/>
                <w:highlight w:val="none"/>
                <w:lang w:val="en-US" w:eastAsia="zh-CN"/>
              </w:rPr>
            </w:pPr>
            <w:r>
              <w:rPr>
                <w:rFonts w:hint="eastAsia" w:ascii="宋体" w:hAnsi="宋体" w:eastAsia="宋体"/>
                <w:kern w:val="0"/>
                <w:sz w:val="18"/>
                <w:szCs w:val="18"/>
                <w:highlight w:val="none"/>
              </w:rPr>
              <w:t>5102</w:t>
            </w:r>
            <w:r>
              <w:rPr>
                <w:rFonts w:hint="eastAsia" w:ascii="宋体" w:hAnsi="宋体" w:eastAsia="宋体"/>
                <w:kern w:val="0"/>
                <w:sz w:val="18"/>
                <w:szCs w:val="18"/>
                <w:highlight w:val="none"/>
                <w:lang w:val="en-US" w:eastAsia="zh-CN"/>
              </w:rPr>
              <w:t>111232</w:t>
            </w:r>
          </w:p>
        </w:tc>
        <w:tc>
          <w:tcPr>
            <w:tcW w:w="485"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6</w:t>
            </w:r>
          </w:p>
        </w:tc>
        <w:tc>
          <w:tcPr>
            <w:tcW w:w="562"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96</w:t>
            </w:r>
          </w:p>
        </w:tc>
        <w:tc>
          <w:tcPr>
            <w:tcW w:w="417"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 xml:space="preserve">48 </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48</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500"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32"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77"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16*6</w:t>
            </w:r>
          </w:p>
        </w:tc>
        <w:tc>
          <w:tcPr>
            <w:tcW w:w="330"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3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06" w:type="dxa"/>
            <w:vMerge w:val="continue"/>
            <w:shd w:val="clear" w:color="auto" w:fill="auto"/>
            <w:vAlign w:val="center"/>
          </w:tcPr>
          <w:p>
            <w:pPr>
              <w:spacing w:line="280" w:lineRule="exact"/>
              <w:jc w:val="center"/>
              <w:rPr>
                <w:rFonts w:ascii="宋体" w:hAnsi="宋体" w:eastAsia="宋体"/>
                <w:kern w:val="0"/>
                <w:sz w:val="18"/>
                <w:szCs w:val="18"/>
                <w:highlight w:val="none"/>
              </w:rPr>
            </w:pPr>
          </w:p>
        </w:tc>
        <w:tc>
          <w:tcPr>
            <w:tcW w:w="347"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25</w:t>
            </w:r>
          </w:p>
        </w:tc>
        <w:tc>
          <w:tcPr>
            <w:tcW w:w="1559"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C语言程序设计</w:t>
            </w:r>
          </w:p>
        </w:tc>
        <w:tc>
          <w:tcPr>
            <w:tcW w:w="992"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kern w:val="0"/>
                <w:sz w:val="18"/>
                <w:szCs w:val="18"/>
                <w:highlight w:val="none"/>
                <w:lang w:val="en-US" w:eastAsia="zh-CN"/>
              </w:rPr>
            </w:pPr>
            <w:r>
              <w:rPr>
                <w:rFonts w:hint="eastAsia" w:ascii="宋体" w:hAnsi="宋体" w:eastAsia="宋体"/>
                <w:kern w:val="0"/>
                <w:sz w:val="18"/>
                <w:szCs w:val="18"/>
                <w:highlight w:val="none"/>
              </w:rPr>
              <w:t>N510</w:t>
            </w:r>
            <w:r>
              <w:rPr>
                <w:rFonts w:hint="eastAsia" w:ascii="宋体" w:hAnsi="宋体" w:eastAsia="宋体"/>
                <w:kern w:val="0"/>
                <w:sz w:val="18"/>
                <w:szCs w:val="18"/>
                <w:highlight w:val="none"/>
                <w:lang w:val="en-US" w:eastAsia="zh-CN"/>
              </w:rPr>
              <w:t>2111233</w:t>
            </w:r>
          </w:p>
        </w:tc>
        <w:tc>
          <w:tcPr>
            <w:tcW w:w="485"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4</w:t>
            </w:r>
          </w:p>
        </w:tc>
        <w:tc>
          <w:tcPr>
            <w:tcW w:w="562"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64</w:t>
            </w:r>
          </w:p>
        </w:tc>
        <w:tc>
          <w:tcPr>
            <w:tcW w:w="417"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32</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32</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500"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32"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77"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16*4</w:t>
            </w:r>
          </w:p>
        </w:tc>
        <w:tc>
          <w:tcPr>
            <w:tcW w:w="330"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3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06" w:type="dxa"/>
            <w:vMerge w:val="restart"/>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特色分立课</w:t>
            </w:r>
          </w:p>
        </w:tc>
        <w:tc>
          <w:tcPr>
            <w:tcW w:w="347"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26</w:t>
            </w:r>
          </w:p>
        </w:tc>
        <w:tc>
          <w:tcPr>
            <w:tcW w:w="1559" w:type="dxa"/>
            <w:shd w:val="clear" w:color="auto" w:fill="auto"/>
            <w:vAlign w:val="center"/>
          </w:tcPr>
          <w:p>
            <w:pPr>
              <w:spacing w:line="280" w:lineRule="exact"/>
              <w:jc w:val="center"/>
              <w:rPr>
                <w:rFonts w:ascii="宋体" w:hAnsi="宋体" w:cs="宋体"/>
                <w:color w:val="000000"/>
                <w:kern w:val="0"/>
                <w:sz w:val="18"/>
                <w:szCs w:val="18"/>
                <w:highlight w:val="none"/>
              </w:rPr>
            </w:pPr>
            <w:r>
              <w:rPr>
                <w:rFonts w:hint="eastAsia" w:ascii="宋体" w:hAnsi="宋体" w:eastAsia="宋体"/>
                <w:kern w:val="0"/>
                <w:sz w:val="18"/>
                <w:szCs w:val="18"/>
                <w:highlight w:val="none"/>
              </w:rPr>
              <w:t>现代密码学</w:t>
            </w:r>
          </w:p>
        </w:tc>
        <w:tc>
          <w:tcPr>
            <w:tcW w:w="992" w:type="dxa"/>
            <w:shd w:val="clear" w:color="auto" w:fill="auto"/>
            <w:tcMar>
              <w:top w:w="15" w:type="dxa"/>
              <w:left w:w="15" w:type="dxa"/>
              <w:bottom w:w="0" w:type="dxa"/>
              <w:right w:w="15" w:type="dxa"/>
            </w:tcMar>
            <w:vAlign w:val="center"/>
          </w:tcPr>
          <w:p>
            <w:pPr>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w:t>
            </w:r>
            <w:r>
              <w:rPr>
                <w:rFonts w:ascii="宋体" w:hAnsi="宋体" w:cs="宋体"/>
                <w:kern w:val="0"/>
                <w:sz w:val="18"/>
                <w:szCs w:val="18"/>
                <w:highlight w:val="none"/>
              </w:rPr>
              <w:t>102111210</w:t>
            </w:r>
          </w:p>
        </w:tc>
        <w:tc>
          <w:tcPr>
            <w:tcW w:w="485" w:type="dxa"/>
            <w:shd w:val="clear" w:color="auto" w:fill="auto"/>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3.5</w:t>
            </w:r>
          </w:p>
        </w:tc>
        <w:tc>
          <w:tcPr>
            <w:tcW w:w="562"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60</w:t>
            </w:r>
          </w:p>
        </w:tc>
        <w:tc>
          <w:tcPr>
            <w:tcW w:w="417"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30</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30</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15*4</w:t>
            </w:r>
          </w:p>
        </w:tc>
        <w:tc>
          <w:tcPr>
            <w:tcW w:w="500"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458"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432"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477"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330"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438"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eastAsia="宋体"/>
                <w:kern w:val="0"/>
                <w:sz w:val="18"/>
                <w:szCs w:val="18"/>
                <w:highlight w:val="none"/>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06" w:type="dxa"/>
            <w:vMerge w:val="continue"/>
            <w:shd w:val="clear" w:color="auto" w:fill="auto"/>
            <w:vAlign w:val="center"/>
          </w:tcPr>
          <w:p>
            <w:pPr>
              <w:spacing w:line="280" w:lineRule="exact"/>
              <w:jc w:val="center"/>
              <w:rPr>
                <w:rFonts w:ascii="宋体" w:hAnsi="宋体" w:eastAsia="宋体"/>
                <w:kern w:val="0"/>
                <w:sz w:val="18"/>
                <w:szCs w:val="18"/>
                <w:highlight w:val="none"/>
              </w:rPr>
            </w:pPr>
          </w:p>
        </w:tc>
        <w:tc>
          <w:tcPr>
            <w:tcW w:w="347"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27</w:t>
            </w:r>
          </w:p>
        </w:tc>
        <w:tc>
          <w:tcPr>
            <w:tcW w:w="1559"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网络操作系统</w:t>
            </w:r>
          </w:p>
        </w:tc>
        <w:tc>
          <w:tcPr>
            <w:tcW w:w="992" w:type="dxa"/>
            <w:shd w:val="clear" w:color="auto" w:fill="auto"/>
            <w:tcMar>
              <w:top w:w="15" w:type="dxa"/>
              <w:left w:w="15" w:type="dxa"/>
              <w:bottom w:w="0" w:type="dxa"/>
              <w:right w:w="15" w:type="dxa"/>
            </w:tcMar>
            <w:vAlign w:val="center"/>
          </w:tcPr>
          <w:p>
            <w:pPr>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N5</w:t>
            </w:r>
            <w:r>
              <w:rPr>
                <w:rFonts w:ascii="宋体" w:hAnsi="宋体" w:cs="宋体"/>
                <w:kern w:val="0"/>
                <w:sz w:val="18"/>
                <w:szCs w:val="18"/>
                <w:highlight w:val="none"/>
              </w:rPr>
              <w:t>102111211</w:t>
            </w:r>
          </w:p>
        </w:tc>
        <w:tc>
          <w:tcPr>
            <w:tcW w:w="485" w:type="dxa"/>
            <w:shd w:val="clear" w:color="auto" w:fill="auto"/>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6</w:t>
            </w:r>
          </w:p>
        </w:tc>
        <w:tc>
          <w:tcPr>
            <w:tcW w:w="562"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102</w:t>
            </w:r>
          </w:p>
        </w:tc>
        <w:tc>
          <w:tcPr>
            <w:tcW w:w="417"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50</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52</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500"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17*6</w:t>
            </w:r>
          </w:p>
        </w:tc>
        <w:tc>
          <w:tcPr>
            <w:tcW w:w="458"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432"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477"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330"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43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06" w:type="dxa"/>
            <w:vMerge w:val="continue"/>
            <w:shd w:val="clear" w:color="auto" w:fill="auto"/>
            <w:vAlign w:val="center"/>
          </w:tcPr>
          <w:p>
            <w:pPr>
              <w:spacing w:line="280" w:lineRule="exact"/>
              <w:jc w:val="center"/>
              <w:rPr>
                <w:rFonts w:ascii="宋体" w:hAnsi="宋体" w:eastAsia="宋体"/>
                <w:kern w:val="0"/>
                <w:sz w:val="18"/>
                <w:szCs w:val="18"/>
                <w:highlight w:val="none"/>
              </w:rPr>
            </w:pPr>
          </w:p>
        </w:tc>
        <w:tc>
          <w:tcPr>
            <w:tcW w:w="347"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28</w:t>
            </w:r>
          </w:p>
        </w:tc>
        <w:tc>
          <w:tcPr>
            <w:tcW w:w="1559"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WEB开发及安全管理技术</w:t>
            </w:r>
          </w:p>
        </w:tc>
        <w:tc>
          <w:tcPr>
            <w:tcW w:w="992" w:type="dxa"/>
            <w:shd w:val="clear" w:color="auto" w:fill="auto"/>
            <w:tcMar>
              <w:top w:w="15" w:type="dxa"/>
              <w:left w:w="15" w:type="dxa"/>
              <w:bottom w:w="0" w:type="dxa"/>
              <w:right w:w="15" w:type="dxa"/>
            </w:tcMar>
            <w:vAlign w:val="center"/>
          </w:tcPr>
          <w:p>
            <w:pPr>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C5</w:t>
            </w:r>
            <w:r>
              <w:rPr>
                <w:rFonts w:ascii="宋体" w:hAnsi="宋体" w:cs="宋体"/>
                <w:kern w:val="0"/>
                <w:sz w:val="18"/>
                <w:szCs w:val="18"/>
                <w:highlight w:val="none"/>
              </w:rPr>
              <w:t>102111220</w:t>
            </w:r>
          </w:p>
        </w:tc>
        <w:tc>
          <w:tcPr>
            <w:tcW w:w="485" w:type="dxa"/>
            <w:shd w:val="clear" w:color="auto" w:fill="auto"/>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8.5</w:t>
            </w:r>
          </w:p>
        </w:tc>
        <w:tc>
          <w:tcPr>
            <w:tcW w:w="562"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136</w:t>
            </w:r>
          </w:p>
        </w:tc>
        <w:tc>
          <w:tcPr>
            <w:tcW w:w="417"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68</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68</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500"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458"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17*8</w:t>
            </w:r>
          </w:p>
        </w:tc>
        <w:tc>
          <w:tcPr>
            <w:tcW w:w="432"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477"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330"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43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06" w:type="dxa"/>
            <w:vMerge w:val="continue"/>
            <w:shd w:val="clear" w:color="auto" w:fill="auto"/>
            <w:vAlign w:val="center"/>
          </w:tcPr>
          <w:p>
            <w:pPr>
              <w:spacing w:line="280" w:lineRule="exact"/>
              <w:jc w:val="center"/>
              <w:rPr>
                <w:rFonts w:ascii="宋体" w:hAnsi="宋体" w:eastAsia="宋体"/>
                <w:kern w:val="0"/>
                <w:sz w:val="18"/>
                <w:szCs w:val="18"/>
                <w:highlight w:val="none"/>
              </w:rPr>
            </w:pPr>
          </w:p>
        </w:tc>
        <w:tc>
          <w:tcPr>
            <w:tcW w:w="347"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29</w:t>
            </w:r>
          </w:p>
        </w:tc>
        <w:tc>
          <w:tcPr>
            <w:tcW w:w="1559"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入侵检测与VPN技术</w:t>
            </w:r>
          </w:p>
        </w:tc>
        <w:tc>
          <w:tcPr>
            <w:tcW w:w="992" w:type="dxa"/>
            <w:shd w:val="clear" w:color="auto" w:fill="auto"/>
            <w:tcMar>
              <w:top w:w="15" w:type="dxa"/>
              <w:left w:w="15" w:type="dxa"/>
              <w:bottom w:w="0" w:type="dxa"/>
              <w:right w:w="15" w:type="dxa"/>
            </w:tcMar>
            <w:vAlign w:val="center"/>
          </w:tcPr>
          <w:p>
            <w:pPr>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N5</w:t>
            </w:r>
            <w:r>
              <w:rPr>
                <w:rFonts w:ascii="宋体" w:hAnsi="宋体" w:cs="宋体"/>
                <w:kern w:val="0"/>
                <w:sz w:val="18"/>
                <w:szCs w:val="18"/>
                <w:highlight w:val="none"/>
              </w:rPr>
              <w:t>102111221</w:t>
            </w:r>
          </w:p>
        </w:tc>
        <w:tc>
          <w:tcPr>
            <w:tcW w:w="485" w:type="dxa"/>
            <w:shd w:val="clear" w:color="auto" w:fill="auto"/>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6</w:t>
            </w:r>
          </w:p>
        </w:tc>
        <w:tc>
          <w:tcPr>
            <w:tcW w:w="562"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102</w:t>
            </w:r>
          </w:p>
        </w:tc>
        <w:tc>
          <w:tcPr>
            <w:tcW w:w="417"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50</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52</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500"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458"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17*6</w:t>
            </w:r>
          </w:p>
        </w:tc>
        <w:tc>
          <w:tcPr>
            <w:tcW w:w="432"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477"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330"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43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06" w:type="dxa"/>
            <w:vMerge w:val="continue"/>
            <w:shd w:val="clear" w:color="auto" w:fill="auto"/>
            <w:vAlign w:val="center"/>
          </w:tcPr>
          <w:p>
            <w:pPr>
              <w:spacing w:line="280" w:lineRule="exact"/>
              <w:jc w:val="center"/>
              <w:rPr>
                <w:rFonts w:ascii="宋体" w:hAnsi="宋体" w:eastAsia="宋体"/>
                <w:kern w:val="0"/>
                <w:sz w:val="18"/>
                <w:szCs w:val="18"/>
                <w:highlight w:val="none"/>
              </w:rPr>
            </w:pPr>
          </w:p>
        </w:tc>
        <w:tc>
          <w:tcPr>
            <w:tcW w:w="347"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30</w:t>
            </w:r>
          </w:p>
        </w:tc>
        <w:tc>
          <w:tcPr>
            <w:tcW w:w="1559"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漏洞扫描与防护</w:t>
            </w:r>
          </w:p>
        </w:tc>
        <w:tc>
          <w:tcPr>
            <w:tcW w:w="992" w:type="dxa"/>
            <w:shd w:val="clear" w:color="auto" w:fill="auto"/>
            <w:tcMar>
              <w:top w:w="15" w:type="dxa"/>
              <w:left w:w="15" w:type="dxa"/>
              <w:bottom w:w="0" w:type="dxa"/>
              <w:right w:w="15" w:type="dxa"/>
            </w:tcMar>
            <w:vAlign w:val="center"/>
          </w:tcPr>
          <w:p>
            <w:pPr>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N5</w:t>
            </w:r>
            <w:r>
              <w:rPr>
                <w:rFonts w:ascii="宋体" w:hAnsi="宋体" w:cs="宋体"/>
                <w:kern w:val="0"/>
                <w:sz w:val="18"/>
                <w:szCs w:val="18"/>
                <w:highlight w:val="none"/>
              </w:rPr>
              <w:t>102111222</w:t>
            </w:r>
          </w:p>
        </w:tc>
        <w:tc>
          <w:tcPr>
            <w:tcW w:w="485" w:type="dxa"/>
            <w:shd w:val="clear" w:color="auto" w:fill="auto"/>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6</w:t>
            </w:r>
          </w:p>
        </w:tc>
        <w:tc>
          <w:tcPr>
            <w:tcW w:w="562"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102</w:t>
            </w:r>
          </w:p>
        </w:tc>
        <w:tc>
          <w:tcPr>
            <w:tcW w:w="417"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50</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52</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500"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458"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432"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17*6</w:t>
            </w:r>
          </w:p>
        </w:tc>
        <w:tc>
          <w:tcPr>
            <w:tcW w:w="477"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330"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43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06" w:type="dxa"/>
            <w:vMerge w:val="continue"/>
            <w:shd w:val="clear" w:color="auto" w:fill="auto"/>
            <w:vAlign w:val="center"/>
          </w:tcPr>
          <w:p>
            <w:pPr>
              <w:spacing w:line="280" w:lineRule="exact"/>
              <w:jc w:val="center"/>
              <w:rPr>
                <w:rFonts w:ascii="宋体" w:hAnsi="宋体" w:eastAsia="宋体"/>
                <w:kern w:val="0"/>
                <w:sz w:val="18"/>
                <w:szCs w:val="18"/>
                <w:highlight w:val="none"/>
              </w:rPr>
            </w:pPr>
          </w:p>
        </w:tc>
        <w:tc>
          <w:tcPr>
            <w:tcW w:w="347"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31</w:t>
            </w:r>
          </w:p>
        </w:tc>
        <w:tc>
          <w:tcPr>
            <w:tcW w:w="1559"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Phython程序设计</w:t>
            </w:r>
          </w:p>
        </w:tc>
        <w:tc>
          <w:tcPr>
            <w:tcW w:w="992" w:type="dxa"/>
            <w:shd w:val="clear" w:color="auto" w:fill="auto"/>
            <w:tcMar>
              <w:top w:w="15" w:type="dxa"/>
              <w:left w:w="15" w:type="dxa"/>
              <w:bottom w:w="0" w:type="dxa"/>
              <w:right w:w="15" w:type="dxa"/>
            </w:tcMar>
            <w:vAlign w:val="center"/>
          </w:tcPr>
          <w:p>
            <w:pPr>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N5</w:t>
            </w:r>
            <w:r>
              <w:rPr>
                <w:rFonts w:ascii="宋体" w:hAnsi="宋体" w:cs="宋体"/>
                <w:kern w:val="0"/>
                <w:sz w:val="18"/>
                <w:szCs w:val="18"/>
                <w:highlight w:val="none"/>
              </w:rPr>
              <w:t>102111223</w:t>
            </w:r>
          </w:p>
        </w:tc>
        <w:tc>
          <w:tcPr>
            <w:tcW w:w="485" w:type="dxa"/>
            <w:shd w:val="clear" w:color="auto" w:fill="auto"/>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8</w:t>
            </w:r>
          </w:p>
        </w:tc>
        <w:tc>
          <w:tcPr>
            <w:tcW w:w="562"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136</w:t>
            </w:r>
          </w:p>
        </w:tc>
        <w:tc>
          <w:tcPr>
            <w:tcW w:w="417"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68</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68</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500"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458"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432"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17*8</w:t>
            </w:r>
          </w:p>
        </w:tc>
        <w:tc>
          <w:tcPr>
            <w:tcW w:w="477"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330"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43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06" w:type="dxa"/>
            <w:vMerge w:val="continue"/>
            <w:shd w:val="clear" w:color="auto" w:fill="auto"/>
            <w:vAlign w:val="center"/>
          </w:tcPr>
          <w:p>
            <w:pPr>
              <w:spacing w:line="280" w:lineRule="exact"/>
              <w:jc w:val="center"/>
              <w:rPr>
                <w:rFonts w:ascii="宋体" w:hAnsi="宋体" w:eastAsia="宋体"/>
                <w:kern w:val="0"/>
                <w:sz w:val="18"/>
                <w:szCs w:val="18"/>
                <w:highlight w:val="none"/>
              </w:rPr>
            </w:pPr>
          </w:p>
        </w:tc>
        <w:tc>
          <w:tcPr>
            <w:tcW w:w="347"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32</w:t>
            </w:r>
          </w:p>
        </w:tc>
        <w:tc>
          <w:tcPr>
            <w:tcW w:w="1559"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信息安全等级保护</w:t>
            </w:r>
          </w:p>
        </w:tc>
        <w:tc>
          <w:tcPr>
            <w:tcW w:w="992" w:type="dxa"/>
            <w:shd w:val="clear" w:color="auto" w:fill="auto"/>
            <w:tcMar>
              <w:top w:w="15" w:type="dxa"/>
              <w:left w:w="15" w:type="dxa"/>
              <w:bottom w:w="0" w:type="dxa"/>
              <w:right w:w="15" w:type="dxa"/>
            </w:tcMar>
            <w:vAlign w:val="center"/>
          </w:tcPr>
          <w:p>
            <w:pPr>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w:t>
            </w:r>
            <w:r>
              <w:rPr>
                <w:rFonts w:ascii="宋体" w:hAnsi="宋体" w:cs="宋体"/>
                <w:kern w:val="0"/>
                <w:sz w:val="18"/>
                <w:szCs w:val="18"/>
                <w:highlight w:val="none"/>
              </w:rPr>
              <w:t>102111224</w:t>
            </w:r>
          </w:p>
        </w:tc>
        <w:tc>
          <w:tcPr>
            <w:tcW w:w="485" w:type="dxa"/>
            <w:shd w:val="clear" w:color="auto" w:fill="auto"/>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6</w:t>
            </w:r>
          </w:p>
        </w:tc>
        <w:tc>
          <w:tcPr>
            <w:tcW w:w="562"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102</w:t>
            </w:r>
          </w:p>
        </w:tc>
        <w:tc>
          <w:tcPr>
            <w:tcW w:w="417"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50</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52</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500"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458"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432"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17*6</w:t>
            </w:r>
          </w:p>
        </w:tc>
        <w:tc>
          <w:tcPr>
            <w:tcW w:w="477"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330"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43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06" w:type="dxa"/>
            <w:vMerge w:val="continue"/>
            <w:shd w:val="clear" w:color="auto" w:fill="auto"/>
            <w:vAlign w:val="center"/>
          </w:tcPr>
          <w:p>
            <w:pPr>
              <w:spacing w:line="280" w:lineRule="exact"/>
              <w:jc w:val="center"/>
              <w:rPr>
                <w:rFonts w:ascii="宋体" w:hAnsi="宋体" w:eastAsia="宋体"/>
                <w:kern w:val="0"/>
                <w:sz w:val="18"/>
                <w:szCs w:val="18"/>
                <w:highlight w:val="none"/>
              </w:rPr>
            </w:pPr>
          </w:p>
        </w:tc>
        <w:tc>
          <w:tcPr>
            <w:tcW w:w="347"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33</w:t>
            </w:r>
          </w:p>
        </w:tc>
        <w:tc>
          <w:tcPr>
            <w:tcW w:w="1559"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网络攻防技术</w:t>
            </w:r>
          </w:p>
        </w:tc>
        <w:tc>
          <w:tcPr>
            <w:tcW w:w="992" w:type="dxa"/>
            <w:shd w:val="clear" w:color="auto" w:fill="auto"/>
            <w:tcMar>
              <w:top w:w="15" w:type="dxa"/>
              <w:left w:w="15" w:type="dxa"/>
              <w:bottom w:w="0" w:type="dxa"/>
              <w:right w:w="15" w:type="dxa"/>
            </w:tcMar>
            <w:vAlign w:val="center"/>
          </w:tcPr>
          <w:p>
            <w:pPr>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w:t>
            </w:r>
            <w:r>
              <w:rPr>
                <w:rFonts w:ascii="宋体" w:hAnsi="宋体" w:cs="宋体"/>
                <w:kern w:val="0"/>
                <w:sz w:val="18"/>
                <w:szCs w:val="18"/>
                <w:highlight w:val="none"/>
              </w:rPr>
              <w:t>102111230</w:t>
            </w:r>
          </w:p>
        </w:tc>
        <w:tc>
          <w:tcPr>
            <w:tcW w:w="485" w:type="dxa"/>
            <w:shd w:val="clear" w:color="auto" w:fill="auto"/>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6</w:t>
            </w:r>
          </w:p>
        </w:tc>
        <w:tc>
          <w:tcPr>
            <w:tcW w:w="562"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96</w:t>
            </w:r>
          </w:p>
        </w:tc>
        <w:tc>
          <w:tcPr>
            <w:tcW w:w="417"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96</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500"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458"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432"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477"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16*6</w:t>
            </w:r>
          </w:p>
        </w:tc>
        <w:tc>
          <w:tcPr>
            <w:tcW w:w="330"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43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06"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互选拓展课</w:t>
            </w:r>
          </w:p>
        </w:tc>
        <w:tc>
          <w:tcPr>
            <w:tcW w:w="347"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34</w:t>
            </w:r>
          </w:p>
        </w:tc>
        <w:tc>
          <w:tcPr>
            <w:tcW w:w="1559" w:type="dxa"/>
            <w:shd w:val="clear" w:color="auto" w:fill="auto"/>
            <w:vAlign w:val="center"/>
          </w:tcPr>
          <w:p>
            <w:pPr>
              <w:spacing w:line="280" w:lineRule="exact"/>
              <w:jc w:val="center"/>
              <w:rPr>
                <w:rFonts w:ascii="宋体" w:hAnsi="宋体" w:cs="宋体"/>
                <w:color w:val="000000"/>
                <w:sz w:val="18"/>
                <w:szCs w:val="18"/>
                <w:highlight w:val="none"/>
              </w:rPr>
            </w:pPr>
            <w:r>
              <w:rPr>
                <w:rFonts w:hint="eastAsia" w:ascii="宋体" w:hAnsi="宋体" w:eastAsia="宋体"/>
                <w:kern w:val="0"/>
                <w:sz w:val="18"/>
                <w:szCs w:val="18"/>
                <w:highlight w:val="none"/>
              </w:rPr>
              <w:t>网络设备配置与管理</w:t>
            </w:r>
          </w:p>
        </w:tc>
        <w:tc>
          <w:tcPr>
            <w:tcW w:w="992" w:type="dxa"/>
            <w:shd w:val="clear" w:color="auto" w:fill="auto"/>
            <w:tcMar>
              <w:top w:w="15" w:type="dxa"/>
              <w:left w:w="15" w:type="dxa"/>
              <w:bottom w:w="0" w:type="dxa"/>
              <w:right w:w="15" w:type="dxa"/>
            </w:tcMar>
            <w:vAlign w:val="center"/>
          </w:tcPr>
          <w:p>
            <w:pPr>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w:t>
            </w:r>
            <w:r>
              <w:rPr>
                <w:rFonts w:ascii="宋体" w:hAnsi="宋体" w:cs="宋体"/>
                <w:kern w:val="0"/>
                <w:sz w:val="18"/>
                <w:szCs w:val="18"/>
                <w:highlight w:val="none"/>
              </w:rPr>
              <w:t>102</w:t>
            </w:r>
            <w:r>
              <w:rPr>
                <w:rFonts w:hint="eastAsia" w:ascii="宋体" w:hAnsi="宋体" w:cs="宋体"/>
                <w:kern w:val="0"/>
                <w:sz w:val="18"/>
                <w:szCs w:val="18"/>
                <w:highlight w:val="none"/>
                <w:lang w:val="en-US" w:eastAsia="zh-CN"/>
              </w:rPr>
              <w:t>11</w:t>
            </w:r>
            <w:r>
              <w:rPr>
                <w:rFonts w:ascii="宋体" w:hAnsi="宋体" w:cs="宋体"/>
                <w:kern w:val="0"/>
                <w:sz w:val="18"/>
                <w:szCs w:val="18"/>
                <w:highlight w:val="none"/>
              </w:rPr>
              <w:t>12</w:t>
            </w:r>
            <w:r>
              <w:rPr>
                <w:rFonts w:hint="eastAsia" w:ascii="宋体" w:hAnsi="宋体" w:cs="宋体"/>
                <w:kern w:val="0"/>
                <w:sz w:val="18"/>
                <w:szCs w:val="18"/>
                <w:highlight w:val="none"/>
              </w:rPr>
              <w:t>31</w:t>
            </w:r>
          </w:p>
        </w:tc>
        <w:tc>
          <w:tcPr>
            <w:tcW w:w="485" w:type="dxa"/>
            <w:shd w:val="clear" w:color="auto" w:fill="auto"/>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w:t>
            </w:r>
          </w:p>
        </w:tc>
        <w:tc>
          <w:tcPr>
            <w:tcW w:w="562"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64</w:t>
            </w:r>
          </w:p>
        </w:tc>
        <w:tc>
          <w:tcPr>
            <w:tcW w:w="417"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32</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32</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500"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458"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432"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477" w:type="dxa"/>
            <w:shd w:val="clear" w:color="auto" w:fill="auto"/>
            <w:tcMar>
              <w:top w:w="15" w:type="dxa"/>
              <w:left w:w="15" w:type="dxa"/>
              <w:bottom w:w="0" w:type="dxa"/>
              <w:right w:w="15" w:type="dxa"/>
            </w:tcMar>
            <w:vAlign w:val="center"/>
          </w:tcPr>
          <w:p>
            <w:pPr>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16*4</w:t>
            </w:r>
          </w:p>
        </w:tc>
        <w:tc>
          <w:tcPr>
            <w:tcW w:w="330"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p>
        </w:tc>
        <w:tc>
          <w:tcPr>
            <w:tcW w:w="438"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kern w:val="0"/>
                <w:sz w:val="18"/>
                <w:szCs w:val="18"/>
                <w:highlight w:val="none"/>
              </w:rPr>
            </w:pPr>
            <w:r>
              <w:rPr>
                <w:rFonts w:hint="eastAsia" w:ascii="宋体" w:hAnsi="宋体" w:eastAsia="宋体"/>
                <w:kern w:val="0"/>
                <w:sz w:val="18"/>
                <w:szCs w:val="18"/>
                <w:highlight w:val="none"/>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06" w:type="dxa"/>
            <w:shd w:val="clear" w:color="auto" w:fill="auto"/>
            <w:vAlign w:val="center"/>
          </w:tcPr>
          <w:p>
            <w:pPr>
              <w:spacing w:line="280" w:lineRule="exact"/>
              <w:jc w:val="center"/>
              <w:rPr>
                <w:rFonts w:ascii="宋体" w:hAnsi="宋体" w:eastAsia="宋体"/>
                <w:kern w:val="0"/>
                <w:sz w:val="18"/>
                <w:szCs w:val="18"/>
                <w:highlight w:val="none"/>
              </w:rPr>
            </w:pPr>
          </w:p>
        </w:tc>
        <w:tc>
          <w:tcPr>
            <w:tcW w:w="347"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35</w:t>
            </w:r>
          </w:p>
        </w:tc>
        <w:tc>
          <w:tcPr>
            <w:tcW w:w="1559" w:type="dxa"/>
            <w:shd w:val="clear" w:color="auto" w:fill="auto"/>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顶岗实习</w:t>
            </w:r>
          </w:p>
        </w:tc>
        <w:tc>
          <w:tcPr>
            <w:tcW w:w="992"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cs="宋体"/>
                <w:kern w:val="0"/>
                <w:sz w:val="18"/>
                <w:szCs w:val="18"/>
                <w:highlight w:val="none"/>
              </w:rPr>
              <w:t>5</w:t>
            </w:r>
            <w:r>
              <w:rPr>
                <w:rFonts w:ascii="宋体" w:hAnsi="宋体" w:cs="宋体"/>
                <w:kern w:val="0"/>
                <w:sz w:val="18"/>
                <w:szCs w:val="18"/>
                <w:highlight w:val="none"/>
              </w:rPr>
              <w:t>102111360</w:t>
            </w:r>
          </w:p>
        </w:tc>
        <w:tc>
          <w:tcPr>
            <w:tcW w:w="485" w:type="dxa"/>
            <w:shd w:val="clear" w:color="auto" w:fill="auto"/>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16.5</w:t>
            </w:r>
          </w:p>
        </w:tc>
        <w:tc>
          <w:tcPr>
            <w:tcW w:w="56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260</w:t>
            </w:r>
          </w:p>
        </w:tc>
        <w:tc>
          <w:tcPr>
            <w:tcW w:w="41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60</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200</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500"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32"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77"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330" w:type="dxa"/>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18W</w:t>
            </w:r>
          </w:p>
        </w:tc>
        <w:tc>
          <w:tcPr>
            <w:tcW w:w="438" w:type="dxa"/>
            <w:shd w:val="clear" w:color="auto" w:fill="auto"/>
            <w:tcMar>
              <w:top w:w="15" w:type="dxa"/>
              <w:left w:w="15" w:type="dxa"/>
              <w:bottom w:w="0" w:type="dxa"/>
              <w:right w:w="15" w:type="dxa"/>
            </w:tcMar>
            <w:vAlign w:val="center"/>
          </w:tcPr>
          <w:p>
            <w:pPr>
              <w:spacing w:line="300" w:lineRule="exact"/>
              <w:jc w:val="center"/>
              <w:rPr>
                <w:rFonts w:ascii="宋体" w:hAnsi="宋体" w:eastAsia="宋体"/>
                <w:sz w:val="18"/>
                <w:szCs w:val="18"/>
                <w:highlight w:val="none"/>
              </w:rPr>
            </w:pPr>
            <w:r>
              <w:rPr>
                <w:rFonts w:hint="eastAsia" w:ascii="宋体" w:hAnsi="宋体" w:eastAsia="宋体"/>
                <w:sz w:val="18"/>
                <w:szCs w:val="1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06" w:type="dxa"/>
            <w:shd w:val="clear" w:color="auto" w:fill="auto"/>
            <w:vAlign w:val="center"/>
          </w:tcPr>
          <w:p>
            <w:pPr>
              <w:spacing w:line="280" w:lineRule="exact"/>
              <w:jc w:val="center"/>
              <w:rPr>
                <w:rFonts w:ascii="宋体" w:hAnsi="宋体" w:eastAsia="宋体"/>
                <w:kern w:val="0"/>
                <w:sz w:val="18"/>
                <w:szCs w:val="18"/>
                <w:highlight w:val="none"/>
              </w:rPr>
            </w:pPr>
          </w:p>
        </w:tc>
        <w:tc>
          <w:tcPr>
            <w:tcW w:w="347" w:type="dxa"/>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36</w:t>
            </w:r>
          </w:p>
        </w:tc>
        <w:tc>
          <w:tcPr>
            <w:tcW w:w="1559" w:type="dxa"/>
            <w:shd w:val="clear" w:color="auto" w:fill="auto"/>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毕业论文（毕业设计）</w:t>
            </w:r>
          </w:p>
        </w:tc>
        <w:tc>
          <w:tcPr>
            <w:tcW w:w="992" w:type="dxa"/>
            <w:shd w:val="clear" w:color="auto" w:fill="auto"/>
            <w:tcMar>
              <w:top w:w="15" w:type="dxa"/>
              <w:left w:w="15" w:type="dxa"/>
              <w:bottom w:w="0" w:type="dxa"/>
              <w:right w:w="15" w:type="dxa"/>
            </w:tcMar>
            <w:vAlign w:val="center"/>
          </w:tcPr>
          <w:p>
            <w:pPr>
              <w:spacing w:line="280" w:lineRule="exact"/>
              <w:jc w:val="center"/>
              <w:rPr>
                <w:rFonts w:ascii="宋体" w:hAnsi="宋体"/>
                <w:kern w:val="0"/>
                <w:sz w:val="18"/>
                <w:szCs w:val="18"/>
                <w:highlight w:val="none"/>
              </w:rPr>
            </w:pPr>
            <w:r>
              <w:rPr>
                <w:rFonts w:hint="eastAsia" w:ascii="宋体" w:hAnsi="宋体" w:cs="宋体"/>
                <w:kern w:val="0"/>
                <w:sz w:val="18"/>
                <w:szCs w:val="18"/>
                <w:highlight w:val="none"/>
              </w:rPr>
              <w:t>5</w:t>
            </w:r>
            <w:r>
              <w:rPr>
                <w:rFonts w:ascii="宋体" w:hAnsi="宋体" w:cs="宋体"/>
                <w:kern w:val="0"/>
                <w:sz w:val="18"/>
                <w:szCs w:val="18"/>
                <w:highlight w:val="none"/>
              </w:rPr>
              <w:t>10211136</w:t>
            </w:r>
            <w:r>
              <w:rPr>
                <w:rFonts w:hint="eastAsia" w:ascii="宋体" w:hAnsi="宋体" w:cs="宋体"/>
                <w:kern w:val="0"/>
                <w:sz w:val="18"/>
                <w:szCs w:val="18"/>
                <w:highlight w:val="none"/>
              </w:rPr>
              <w:t>1</w:t>
            </w:r>
          </w:p>
        </w:tc>
        <w:tc>
          <w:tcPr>
            <w:tcW w:w="485" w:type="dxa"/>
            <w:shd w:val="clear" w:color="auto" w:fill="auto"/>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6</w:t>
            </w:r>
          </w:p>
        </w:tc>
        <w:tc>
          <w:tcPr>
            <w:tcW w:w="56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100</w:t>
            </w:r>
          </w:p>
        </w:tc>
        <w:tc>
          <w:tcPr>
            <w:tcW w:w="41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30</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70</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500"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32"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77"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330"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8" w:type="dxa"/>
            <w:shd w:val="clear" w:color="auto" w:fill="auto"/>
            <w:tcMar>
              <w:top w:w="15" w:type="dxa"/>
              <w:left w:w="15" w:type="dxa"/>
              <w:bottom w:w="0" w:type="dxa"/>
              <w:right w:w="15" w:type="dxa"/>
            </w:tcMar>
            <w:vAlign w:val="center"/>
          </w:tcPr>
          <w:p>
            <w:pPr>
              <w:spacing w:line="300" w:lineRule="exact"/>
              <w:jc w:val="center"/>
              <w:rPr>
                <w:rFonts w:ascii="宋体" w:hAnsi="宋体" w:eastAsia="宋体"/>
                <w:sz w:val="18"/>
                <w:szCs w:val="18"/>
                <w:highlight w:val="none"/>
              </w:rPr>
            </w:pPr>
            <w:r>
              <w:rPr>
                <w:rFonts w:hint="eastAsia" w:ascii="宋体" w:hAnsi="宋体" w:eastAsia="宋体"/>
                <w:sz w:val="18"/>
                <w:szCs w:val="1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2312" w:type="dxa"/>
            <w:gridSpan w:val="3"/>
            <w:tcBorders>
              <w:bottom w:val="single" w:color="auto" w:sz="4" w:space="0"/>
            </w:tcBorders>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小计</w:t>
            </w:r>
          </w:p>
        </w:tc>
        <w:tc>
          <w:tcPr>
            <w:tcW w:w="992"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85" w:type="dxa"/>
            <w:tcBorders>
              <w:bottom w:val="single" w:color="auto" w:sz="4" w:space="0"/>
            </w:tcBorders>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yellow"/>
                <w:lang w:val="en-US" w:eastAsia="zh-CN"/>
              </w:rPr>
              <w:t>9</w:t>
            </w:r>
            <w:r>
              <w:rPr>
                <w:rFonts w:hint="eastAsia" w:ascii="宋体" w:hAnsi="宋体" w:eastAsia="宋体"/>
                <w:kern w:val="0"/>
                <w:sz w:val="18"/>
                <w:szCs w:val="18"/>
                <w:highlight w:val="yellow"/>
              </w:rPr>
              <w:t>8</w:t>
            </w:r>
          </w:p>
        </w:tc>
        <w:tc>
          <w:tcPr>
            <w:tcW w:w="562"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1616</w:t>
            </w:r>
          </w:p>
        </w:tc>
        <w:tc>
          <w:tcPr>
            <w:tcW w:w="417"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666</w:t>
            </w:r>
          </w:p>
        </w:tc>
        <w:tc>
          <w:tcPr>
            <w:tcW w:w="495"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950</w:t>
            </w:r>
          </w:p>
        </w:tc>
        <w:tc>
          <w:tcPr>
            <w:tcW w:w="495"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8</w:t>
            </w:r>
          </w:p>
        </w:tc>
        <w:tc>
          <w:tcPr>
            <w:tcW w:w="500"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14</w:t>
            </w:r>
          </w:p>
        </w:tc>
        <w:tc>
          <w:tcPr>
            <w:tcW w:w="458"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14</w:t>
            </w:r>
          </w:p>
        </w:tc>
        <w:tc>
          <w:tcPr>
            <w:tcW w:w="432"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20</w:t>
            </w:r>
          </w:p>
        </w:tc>
        <w:tc>
          <w:tcPr>
            <w:tcW w:w="477"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20</w:t>
            </w:r>
          </w:p>
        </w:tc>
        <w:tc>
          <w:tcPr>
            <w:tcW w:w="330"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38"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选修课</w:t>
            </w:r>
          </w:p>
        </w:tc>
        <w:tc>
          <w:tcPr>
            <w:tcW w:w="406" w:type="dxa"/>
            <w:vMerge w:val="restart"/>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公共选修课</w:t>
            </w:r>
          </w:p>
        </w:tc>
        <w:tc>
          <w:tcPr>
            <w:tcW w:w="347" w:type="dxa"/>
            <w:tcBorders>
              <w:bottom w:val="single" w:color="auto" w:sz="4" w:space="0"/>
            </w:tcBorders>
            <w:shd w:val="clear" w:color="auto" w:fill="auto"/>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37</w:t>
            </w:r>
          </w:p>
        </w:tc>
        <w:tc>
          <w:tcPr>
            <w:tcW w:w="1559" w:type="dxa"/>
            <w:tcBorders>
              <w:bottom w:val="single" w:color="auto" w:sz="4" w:space="0"/>
            </w:tcBorders>
            <w:shd w:val="clear" w:color="auto" w:fill="auto"/>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人文素养类课程</w:t>
            </w:r>
          </w:p>
        </w:tc>
        <w:tc>
          <w:tcPr>
            <w:tcW w:w="99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9999991650</w:t>
            </w:r>
          </w:p>
        </w:tc>
        <w:tc>
          <w:tcPr>
            <w:tcW w:w="485" w:type="dxa"/>
            <w:tcBorders>
              <w:bottom w:val="single" w:color="auto" w:sz="4" w:space="0"/>
            </w:tcBorders>
            <w:shd w:val="clear" w:color="auto" w:fill="auto"/>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562"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30</w:t>
            </w:r>
          </w:p>
        </w:tc>
        <w:tc>
          <w:tcPr>
            <w:tcW w:w="417"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30</w:t>
            </w:r>
          </w:p>
        </w:tc>
        <w:tc>
          <w:tcPr>
            <w:tcW w:w="495"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95"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00"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58" w:type="dxa"/>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15*2</w:t>
            </w:r>
          </w:p>
        </w:tc>
        <w:tc>
          <w:tcPr>
            <w:tcW w:w="432"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77"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30"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8" w:type="dxa"/>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06" w:type="dxa"/>
            <w:vMerge w:val="continue"/>
            <w:shd w:val="clear" w:color="auto" w:fill="auto"/>
            <w:vAlign w:val="center"/>
          </w:tcPr>
          <w:p>
            <w:pPr>
              <w:spacing w:line="280" w:lineRule="exact"/>
              <w:jc w:val="center"/>
              <w:rPr>
                <w:rFonts w:ascii="宋体" w:hAnsi="宋体" w:eastAsia="宋体"/>
                <w:kern w:val="0"/>
                <w:sz w:val="18"/>
                <w:szCs w:val="18"/>
                <w:highlight w:val="none"/>
              </w:rPr>
            </w:pPr>
          </w:p>
        </w:tc>
        <w:tc>
          <w:tcPr>
            <w:tcW w:w="347" w:type="dxa"/>
            <w:tcBorders>
              <w:bottom w:val="single" w:color="auto" w:sz="4" w:space="0"/>
            </w:tcBorders>
            <w:shd w:val="clear" w:color="auto" w:fill="auto"/>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38</w:t>
            </w:r>
          </w:p>
        </w:tc>
        <w:tc>
          <w:tcPr>
            <w:tcW w:w="1559" w:type="dxa"/>
            <w:tcBorders>
              <w:bottom w:val="single" w:color="auto" w:sz="4" w:space="0"/>
            </w:tcBorders>
            <w:shd w:val="clear" w:color="auto" w:fill="auto"/>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创新创业管理类课程</w:t>
            </w:r>
          </w:p>
        </w:tc>
        <w:tc>
          <w:tcPr>
            <w:tcW w:w="99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9999991651</w:t>
            </w:r>
          </w:p>
        </w:tc>
        <w:tc>
          <w:tcPr>
            <w:tcW w:w="485" w:type="dxa"/>
            <w:tcBorders>
              <w:bottom w:val="single" w:color="auto" w:sz="4" w:space="0"/>
            </w:tcBorders>
            <w:shd w:val="clear" w:color="auto" w:fill="auto"/>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562"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30</w:t>
            </w:r>
          </w:p>
        </w:tc>
        <w:tc>
          <w:tcPr>
            <w:tcW w:w="417"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30</w:t>
            </w:r>
          </w:p>
        </w:tc>
        <w:tc>
          <w:tcPr>
            <w:tcW w:w="495"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95"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00"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58"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2"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77"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30"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8"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06" w:type="dxa"/>
            <w:vMerge w:val="continue"/>
            <w:shd w:val="clear" w:color="auto" w:fill="auto"/>
            <w:vAlign w:val="center"/>
          </w:tcPr>
          <w:p>
            <w:pPr>
              <w:spacing w:line="280" w:lineRule="exact"/>
              <w:jc w:val="center"/>
              <w:rPr>
                <w:rFonts w:ascii="宋体" w:hAnsi="宋体" w:eastAsia="宋体"/>
                <w:kern w:val="0"/>
                <w:sz w:val="18"/>
                <w:szCs w:val="18"/>
                <w:highlight w:val="none"/>
              </w:rPr>
            </w:pPr>
          </w:p>
        </w:tc>
        <w:tc>
          <w:tcPr>
            <w:tcW w:w="347" w:type="dxa"/>
            <w:tcBorders>
              <w:bottom w:val="single" w:color="auto" w:sz="4" w:space="0"/>
            </w:tcBorders>
            <w:shd w:val="clear" w:color="auto" w:fill="auto"/>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39</w:t>
            </w:r>
          </w:p>
        </w:tc>
        <w:tc>
          <w:tcPr>
            <w:tcW w:w="1559" w:type="dxa"/>
            <w:tcBorders>
              <w:bottom w:val="single" w:color="auto" w:sz="4" w:space="0"/>
            </w:tcBorders>
            <w:shd w:val="clear" w:color="auto" w:fill="auto"/>
            <w:vAlign w:val="center"/>
          </w:tcPr>
          <w:p>
            <w:pPr>
              <w:spacing w:line="280" w:lineRule="exact"/>
              <w:jc w:val="center"/>
              <w:rPr>
                <w:rFonts w:ascii="宋体" w:hAnsi="宋体" w:eastAsia="宋体"/>
                <w:kern w:val="0"/>
                <w:sz w:val="18"/>
                <w:szCs w:val="18"/>
                <w:highlight w:val="none"/>
              </w:rPr>
            </w:pPr>
            <w:r>
              <w:rPr>
                <w:rFonts w:ascii="宋体" w:hAnsi="宋体" w:eastAsia="宋体"/>
                <w:kern w:val="0"/>
                <w:sz w:val="18"/>
                <w:szCs w:val="18"/>
                <w:highlight w:val="none"/>
              </w:rPr>
              <w:t>科学素养类课程</w:t>
            </w:r>
          </w:p>
        </w:tc>
        <w:tc>
          <w:tcPr>
            <w:tcW w:w="99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9999991652</w:t>
            </w:r>
          </w:p>
        </w:tc>
        <w:tc>
          <w:tcPr>
            <w:tcW w:w="485" w:type="dxa"/>
            <w:tcBorders>
              <w:bottom w:val="single" w:color="auto" w:sz="4" w:space="0"/>
            </w:tcBorders>
            <w:shd w:val="clear" w:color="auto" w:fill="auto"/>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2</w:t>
            </w:r>
          </w:p>
        </w:tc>
        <w:tc>
          <w:tcPr>
            <w:tcW w:w="562"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30</w:t>
            </w:r>
          </w:p>
        </w:tc>
        <w:tc>
          <w:tcPr>
            <w:tcW w:w="417"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30</w:t>
            </w:r>
          </w:p>
        </w:tc>
        <w:tc>
          <w:tcPr>
            <w:tcW w:w="495"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95"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00"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58" w:type="dxa"/>
            <w:vMerge w:val="continue"/>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2"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77"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330"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8" w:type="dxa"/>
            <w:vMerge w:val="continue"/>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06" w:type="dxa"/>
            <w:vMerge w:val="continue"/>
            <w:tcBorders>
              <w:bottom w:val="single" w:color="auto" w:sz="4" w:space="0"/>
            </w:tcBorders>
            <w:shd w:val="clear" w:color="auto" w:fill="auto"/>
            <w:vAlign w:val="center"/>
          </w:tcPr>
          <w:p>
            <w:pPr>
              <w:spacing w:line="280" w:lineRule="exact"/>
              <w:jc w:val="center"/>
              <w:rPr>
                <w:rFonts w:ascii="宋体" w:hAnsi="宋体" w:eastAsia="宋体"/>
                <w:kern w:val="0"/>
                <w:sz w:val="18"/>
                <w:szCs w:val="18"/>
                <w:highlight w:val="none"/>
              </w:rPr>
            </w:pPr>
          </w:p>
        </w:tc>
        <w:tc>
          <w:tcPr>
            <w:tcW w:w="347" w:type="dxa"/>
            <w:tcBorders>
              <w:bottom w:val="single" w:color="auto" w:sz="4" w:space="0"/>
            </w:tcBorders>
            <w:shd w:val="clear" w:color="auto" w:fill="auto"/>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40</w:t>
            </w:r>
          </w:p>
        </w:tc>
        <w:tc>
          <w:tcPr>
            <w:tcW w:w="1559" w:type="dxa"/>
            <w:tcBorders>
              <w:bottom w:val="single" w:color="auto" w:sz="4" w:space="0"/>
            </w:tcBorders>
            <w:shd w:val="clear" w:color="auto" w:fill="auto"/>
            <w:vAlign w:val="center"/>
          </w:tcPr>
          <w:p>
            <w:pPr>
              <w:spacing w:line="280" w:lineRule="exact"/>
              <w:jc w:val="center"/>
              <w:rPr>
                <w:rFonts w:ascii="宋体" w:hAnsi="宋体" w:eastAsia="宋体"/>
                <w:sz w:val="18"/>
                <w:szCs w:val="18"/>
                <w:highlight w:val="none"/>
              </w:rPr>
            </w:pPr>
            <w:r>
              <w:rPr>
                <w:rFonts w:hint="eastAsia" w:ascii="宋体" w:hAnsi="宋体" w:eastAsia="宋体"/>
                <w:kern w:val="0"/>
                <w:sz w:val="18"/>
                <w:szCs w:val="18"/>
                <w:highlight w:val="none"/>
              </w:rPr>
              <w:t>美育类课程</w:t>
            </w:r>
          </w:p>
        </w:tc>
        <w:tc>
          <w:tcPr>
            <w:tcW w:w="99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9999991660</w:t>
            </w:r>
          </w:p>
        </w:tc>
        <w:tc>
          <w:tcPr>
            <w:tcW w:w="485" w:type="dxa"/>
            <w:tcBorders>
              <w:bottom w:val="single" w:color="auto" w:sz="4" w:space="0"/>
            </w:tcBorders>
            <w:shd w:val="clear" w:color="auto" w:fill="auto"/>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5</w:t>
            </w:r>
          </w:p>
        </w:tc>
        <w:tc>
          <w:tcPr>
            <w:tcW w:w="562"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72</w:t>
            </w:r>
          </w:p>
        </w:tc>
        <w:tc>
          <w:tcPr>
            <w:tcW w:w="417"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32</w:t>
            </w:r>
          </w:p>
        </w:tc>
        <w:tc>
          <w:tcPr>
            <w:tcW w:w="495"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40</w:t>
            </w:r>
          </w:p>
        </w:tc>
        <w:tc>
          <w:tcPr>
            <w:tcW w:w="495"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w:t>
            </w:r>
            <w:r>
              <w:rPr>
                <w:rFonts w:hint="eastAsia" w:ascii="宋体" w:hAnsi="宋体" w:eastAsia="宋体"/>
                <w:sz w:val="18"/>
                <w:szCs w:val="18"/>
                <w:highlight w:val="none"/>
              </w:rPr>
              <w:t>4</w:t>
            </w:r>
            <w:r>
              <w:rPr>
                <w:rFonts w:ascii="宋体" w:hAnsi="宋体" w:eastAsia="宋体"/>
                <w:sz w:val="18"/>
                <w:szCs w:val="18"/>
                <w:highlight w:val="none"/>
              </w:rPr>
              <w:t>*2</w:t>
            </w:r>
          </w:p>
        </w:tc>
        <w:tc>
          <w:tcPr>
            <w:tcW w:w="500"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4</w:t>
            </w:r>
            <w:r>
              <w:rPr>
                <w:rFonts w:ascii="宋体" w:hAnsi="宋体" w:eastAsia="宋体"/>
                <w:sz w:val="18"/>
                <w:szCs w:val="18"/>
                <w:highlight w:val="none"/>
              </w:rPr>
              <w:t>*</w:t>
            </w:r>
            <w:r>
              <w:rPr>
                <w:rFonts w:hint="eastAsia" w:ascii="宋体" w:hAnsi="宋体" w:eastAsia="宋体"/>
                <w:sz w:val="18"/>
                <w:szCs w:val="18"/>
                <w:highlight w:val="none"/>
              </w:rPr>
              <w:t>1</w:t>
            </w:r>
          </w:p>
        </w:tc>
        <w:tc>
          <w:tcPr>
            <w:tcW w:w="458"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1</w:t>
            </w:r>
            <w:r>
              <w:rPr>
                <w:rFonts w:hint="eastAsia" w:ascii="宋体" w:hAnsi="宋体" w:eastAsia="宋体"/>
                <w:sz w:val="18"/>
                <w:szCs w:val="18"/>
                <w:highlight w:val="none"/>
              </w:rPr>
              <w:t>6</w:t>
            </w:r>
            <w:r>
              <w:rPr>
                <w:rFonts w:ascii="宋体" w:hAnsi="宋体" w:eastAsia="宋体"/>
                <w:sz w:val="18"/>
                <w:szCs w:val="18"/>
                <w:highlight w:val="none"/>
              </w:rPr>
              <w:t>*</w:t>
            </w:r>
            <w:r>
              <w:rPr>
                <w:rFonts w:hint="eastAsia" w:ascii="宋体" w:hAnsi="宋体" w:eastAsia="宋体"/>
                <w:sz w:val="18"/>
                <w:szCs w:val="18"/>
                <w:highlight w:val="none"/>
              </w:rPr>
              <w:t>1</w:t>
            </w:r>
          </w:p>
        </w:tc>
        <w:tc>
          <w:tcPr>
            <w:tcW w:w="432"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15*2</w:t>
            </w:r>
          </w:p>
        </w:tc>
        <w:tc>
          <w:tcPr>
            <w:tcW w:w="477"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8</w:t>
            </w:r>
            <w:r>
              <w:rPr>
                <w:rFonts w:ascii="宋体" w:hAnsi="宋体" w:eastAsia="宋体"/>
                <w:sz w:val="18"/>
                <w:szCs w:val="18"/>
                <w:highlight w:val="none"/>
              </w:rPr>
              <w:t>*</w:t>
            </w:r>
            <w:r>
              <w:rPr>
                <w:rFonts w:hint="eastAsia" w:ascii="宋体" w:hAnsi="宋体" w:eastAsia="宋体"/>
                <w:sz w:val="18"/>
                <w:szCs w:val="18"/>
                <w:highlight w:val="none"/>
              </w:rPr>
              <w:t>1</w:t>
            </w:r>
          </w:p>
        </w:tc>
        <w:tc>
          <w:tcPr>
            <w:tcW w:w="330"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38"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tcBorders>
              <w:top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23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小计</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7</w:t>
            </w:r>
          </w:p>
        </w:tc>
        <w:tc>
          <w:tcPr>
            <w:tcW w:w="5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102</w:t>
            </w:r>
          </w:p>
        </w:tc>
        <w:tc>
          <w:tcPr>
            <w:tcW w:w="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62</w:t>
            </w:r>
          </w:p>
        </w:tc>
        <w:tc>
          <w:tcPr>
            <w:tcW w:w="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40</w:t>
            </w:r>
          </w:p>
        </w:tc>
        <w:tc>
          <w:tcPr>
            <w:tcW w:w="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2</w:t>
            </w:r>
          </w:p>
        </w:tc>
        <w:tc>
          <w:tcPr>
            <w:tcW w:w="5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3</w:t>
            </w:r>
          </w:p>
        </w:tc>
        <w:tc>
          <w:tcPr>
            <w:tcW w:w="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2</w:t>
            </w:r>
          </w:p>
        </w:tc>
        <w:tc>
          <w:tcPr>
            <w:tcW w:w="4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67"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总计</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highlight w:val="yellow"/>
                <w:lang w:val="en-US" w:eastAsia="zh-CN"/>
              </w:rPr>
            </w:pP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kern w:val="0"/>
                <w:sz w:val="18"/>
                <w:szCs w:val="18"/>
                <w:highlight w:val="yellow"/>
                <w:lang w:val="en-US" w:eastAsia="zh-CN"/>
              </w:rPr>
            </w:pPr>
            <w:r>
              <w:rPr>
                <w:rFonts w:hint="eastAsia" w:ascii="宋体" w:hAnsi="宋体" w:eastAsia="宋体"/>
                <w:kern w:val="0"/>
                <w:sz w:val="18"/>
                <w:szCs w:val="18"/>
                <w:highlight w:val="yellow"/>
                <w:lang w:val="en-US" w:eastAsia="zh-CN"/>
              </w:rPr>
              <w:t>164.5</w:t>
            </w:r>
          </w:p>
        </w:tc>
        <w:tc>
          <w:tcPr>
            <w:tcW w:w="5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hint="eastAsia" w:ascii="宋体" w:hAnsi="宋体" w:eastAsia="宋体"/>
                <w:kern w:val="0"/>
                <w:sz w:val="18"/>
                <w:szCs w:val="18"/>
                <w:highlight w:val="none"/>
                <w:lang w:val="en-US" w:eastAsia="zh-CN"/>
              </w:rPr>
            </w:pPr>
            <w:r>
              <w:rPr>
                <w:rFonts w:hint="eastAsia" w:ascii="宋体" w:hAnsi="宋体" w:eastAsia="宋体"/>
                <w:kern w:val="0"/>
                <w:sz w:val="18"/>
                <w:szCs w:val="18"/>
                <w:highlight w:val="none"/>
                <w:lang w:val="en-US" w:eastAsia="zh-CN"/>
              </w:rPr>
              <w:t>2574</w:t>
            </w:r>
          </w:p>
        </w:tc>
        <w:tc>
          <w:tcPr>
            <w:tcW w:w="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hint="eastAsia" w:ascii="宋体" w:hAnsi="宋体" w:eastAsia="宋体"/>
                <w:kern w:val="0"/>
                <w:sz w:val="18"/>
                <w:szCs w:val="18"/>
                <w:highlight w:val="none"/>
                <w:lang w:val="en-US" w:eastAsia="zh-CN"/>
              </w:rPr>
            </w:pPr>
            <w:r>
              <w:rPr>
                <w:rFonts w:hint="eastAsia" w:ascii="宋体" w:hAnsi="宋体" w:eastAsia="宋体"/>
                <w:kern w:val="0"/>
                <w:sz w:val="18"/>
                <w:szCs w:val="18"/>
                <w:highlight w:val="none"/>
                <w:lang w:val="en-US" w:eastAsia="zh-CN"/>
              </w:rPr>
              <w:t>1272</w:t>
            </w:r>
          </w:p>
        </w:tc>
        <w:tc>
          <w:tcPr>
            <w:tcW w:w="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hint="eastAsia" w:ascii="宋体" w:hAnsi="宋体" w:eastAsia="宋体"/>
                <w:kern w:val="0"/>
                <w:sz w:val="18"/>
                <w:szCs w:val="18"/>
                <w:highlight w:val="none"/>
                <w:lang w:val="en-US" w:eastAsia="zh-CN"/>
              </w:rPr>
            </w:pPr>
            <w:r>
              <w:rPr>
                <w:rFonts w:hint="eastAsia" w:ascii="宋体" w:hAnsi="宋体" w:eastAsia="宋体"/>
                <w:kern w:val="0"/>
                <w:sz w:val="18"/>
                <w:szCs w:val="18"/>
                <w:highlight w:val="none"/>
                <w:lang w:val="en-US" w:eastAsia="zh-CN"/>
              </w:rPr>
              <w:t>1302</w:t>
            </w:r>
          </w:p>
        </w:tc>
        <w:tc>
          <w:tcPr>
            <w:tcW w:w="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kern w:val="0"/>
                <w:sz w:val="18"/>
                <w:szCs w:val="18"/>
                <w:highlight w:val="none"/>
                <w:lang w:val="en-US" w:eastAsia="zh-CN"/>
              </w:rPr>
            </w:pPr>
            <w:r>
              <w:rPr>
                <w:rFonts w:hint="eastAsia" w:ascii="宋体" w:hAnsi="宋体" w:eastAsia="宋体"/>
                <w:kern w:val="0"/>
                <w:sz w:val="18"/>
                <w:szCs w:val="18"/>
                <w:highlight w:val="none"/>
                <w:lang w:val="en-US" w:eastAsia="zh-CN"/>
              </w:rPr>
              <w:t>28</w:t>
            </w:r>
          </w:p>
        </w:tc>
        <w:tc>
          <w:tcPr>
            <w:tcW w:w="5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31</w:t>
            </w:r>
          </w:p>
        </w:tc>
        <w:tc>
          <w:tcPr>
            <w:tcW w:w="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kern w:val="0"/>
                <w:sz w:val="18"/>
                <w:szCs w:val="18"/>
                <w:highlight w:val="none"/>
                <w:lang w:val="en-US" w:eastAsia="zh-CN"/>
              </w:rPr>
            </w:pPr>
            <w:r>
              <w:rPr>
                <w:rFonts w:hint="eastAsia" w:ascii="宋体" w:hAnsi="宋体" w:eastAsia="宋体"/>
                <w:kern w:val="0"/>
                <w:sz w:val="18"/>
                <w:szCs w:val="18"/>
                <w:highlight w:val="none"/>
                <w:lang w:val="en-US" w:eastAsia="zh-CN"/>
              </w:rPr>
              <w:t>20</w:t>
            </w:r>
          </w:p>
        </w:tc>
        <w:tc>
          <w:tcPr>
            <w:tcW w:w="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25</w:t>
            </w:r>
          </w:p>
        </w:tc>
        <w:tc>
          <w:tcPr>
            <w:tcW w:w="4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r>
              <w:rPr>
                <w:rFonts w:hint="eastAsia" w:ascii="宋体" w:hAnsi="宋体" w:eastAsia="宋体"/>
                <w:kern w:val="0"/>
                <w:sz w:val="18"/>
                <w:szCs w:val="18"/>
                <w:highlight w:val="none"/>
              </w:rPr>
              <w:t>20</w:t>
            </w:r>
          </w:p>
        </w:tc>
        <w:tc>
          <w:tcPr>
            <w:tcW w:w="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c>
          <w:tcPr>
            <w:tcW w:w="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highlight w:val="none"/>
              </w:rPr>
            </w:pPr>
          </w:p>
        </w:tc>
      </w:tr>
    </w:tbl>
    <w:p>
      <w:pPr>
        <w:spacing w:line="400" w:lineRule="exact"/>
        <w:rPr>
          <w:rFonts w:ascii="宋体" w:hAnsi="宋体" w:eastAsia="宋体"/>
          <w:highlight w:val="none"/>
        </w:rPr>
      </w:pPr>
    </w:p>
    <w:p>
      <w:pPr>
        <w:spacing w:line="400" w:lineRule="exact"/>
        <w:rPr>
          <w:rFonts w:ascii="宋体" w:hAnsi="宋体" w:eastAsia="宋体"/>
          <w:highlight w:val="none"/>
        </w:rPr>
      </w:pPr>
      <w:r>
        <w:rPr>
          <w:rFonts w:hint="eastAsia" w:ascii="宋体" w:hAnsi="宋体" w:eastAsia="宋体"/>
          <w:highlight w:val="none"/>
        </w:rPr>
        <w:t xml:space="preserve">注：本教学进程表中课程代码前带“Ｎ”的为本专业主干课程，带C的为创新创业课程。 </w:t>
      </w:r>
    </w:p>
    <w:p>
      <w:pPr>
        <w:spacing w:line="400" w:lineRule="exact"/>
        <w:ind w:firstLine="210" w:firstLineChars="100"/>
        <w:rPr>
          <w:rFonts w:ascii="宋体" w:hAnsi="宋体" w:eastAsia="宋体"/>
          <w:highlight w:val="none"/>
        </w:rPr>
      </w:pPr>
      <w:r>
        <w:rPr>
          <w:rFonts w:hint="eastAsia" w:ascii="宋体" w:hAnsi="宋体" w:eastAsia="宋体"/>
          <w:highlight w:val="none"/>
        </w:rPr>
        <w:t xml:space="preserve">  </w:t>
      </w:r>
    </w:p>
    <w:p>
      <w:pPr>
        <w:spacing w:line="400" w:lineRule="exact"/>
        <w:ind w:firstLine="210" w:firstLineChars="100"/>
        <w:rPr>
          <w:rFonts w:ascii="宋体" w:hAnsi="宋体" w:eastAsia="宋体"/>
          <w:highlight w:val="none"/>
        </w:rPr>
      </w:pPr>
      <w:r>
        <w:rPr>
          <w:rFonts w:hint="eastAsia" w:ascii="宋体" w:hAnsi="宋体" w:eastAsia="宋体"/>
          <w:highlight w:val="none"/>
        </w:rPr>
        <w:t>（三）集中实践专业技术课程时间安排</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723"/>
        <w:gridCol w:w="900"/>
        <w:gridCol w:w="803"/>
        <w:gridCol w:w="1170"/>
        <w:gridCol w:w="962"/>
        <w:gridCol w:w="900"/>
        <w:gridCol w:w="1080"/>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序号</w:t>
            </w:r>
          </w:p>
        </w:tc>
        <w:tc>
          <w:tcPr>
            <w:tcW w:w="1723" w:type="dxa"/>
            <w:vMerge w:val="restart"/>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实训课程名称</w:t>
            </w:r>
          </w:p>
        </w:tc>
        <w:tc>
          <w:tcPr>
            <w:tcW w:w="900" w:type="dxa"/>
            <w:vMerge w:val="restart"/>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技能教学课时</w:t>
            </w:r>
          </w:p>
        </w:tc>
        <w:tc>
          <w:tcPr>
            <w:tcW w:w="5940" w:type="dxa"/>
            <w:gridSpan w:val="6"/>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按学年及学期分配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spacing w:line="360" w:lineRule="exact"/>
              <w:jc w:val="center"/>
              <w:rPr>
                <w:rFonts w:ascii="宋体" w:hAnsi="宋体" w:eastAsia="宋体"/>
                <w:sz w:val="18"/>
                <w:szCs w:val="18"/>
                <w:highlight w:val="none"/>
              </w:rPr>
            </w:pPr>
          </w:p>
        </w:tc>
        <w:tc>
          <w:tcPr>
            <w:tcW w:w="1723" w:type="dxa"/>
            <w:vMerge w:val="continue"/>
            <w:vAlign w:val="center"/>
          </w:tcPr>
          <w:p>
            <w:pPr>
              <w:spacing w:line="360" w:lineRule="exact"/>
              <w:jc w:val="center"/>
              <w:rPr>
                <w:rFonts w:ascii="宋体" w:hAnsi="宋体" w:eastAsia="宋体"/>
                <w:sz w:val="18"/>
                <w:szCs w:val="18"/>
                <w:highlight w:val="none"/>
              </w:rPr>
            </w:pPr>
          </w:p>
        </w:tc>
        <w:tc>
          <w:tcPr>
            <w:tcW w:w="900" w:type="dxa"/>
            <w:vMerge w:val="continue"/>
            <w:vAlign w:val="center"/>
          </w:tcPr>
          <w:p>
            <w:pPr>
              <w:spacing w:line="360" w:lineRule="exact"/>
              <w:jc w:val="center"/>
              <w:rPr>
                <w:rFonts w:ascii="宋体" w:hAnsi="宋体" w:eastAsia="宋体"/>
                <w:sz w:val="18"/>
                <w:szCs w:val="18"/>
                <w:highlight w:val="none"/>
              </w:rPr>
            </w:pPr>
          </w:p>
        </w:tc>
        <w:tc>
          <w:tcPr>
            <w:tcW w:w="803"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1学期</w:t>
            </w:r>
          </w:p>
        </w:tc>
        <w:tc>
          <w:tcPr>
            <w:tcW w:w="1170"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2学期</w:t>
            </w:r>
          </w:p>
        </w:tc>
        <w:tc>
          <w:tcPr>
            <w:tcW w:w="962"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3学期</w:t>
            </w:r>
          </w:p>
        </w:tc>
        <w:tc>
          <w:tcPr>
            <w:tcW w:w="900"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4学期</w:t>
            </w:r>
          </w:p>
        </w:tc>
        <w:tc>
          <w:tcPr>
            <w:tcW w:w="1080"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5学期</w:t>
            </w:r>
          </w:p>
        </w:tc>
        <w:tc>
          <w:tcPr>
            <w:tcW w:w="1025"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6学期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02"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1</w:t>
            </w:r>
          </w:p>
        </w:tc>
        <w:tc>
          <w:tcPr>
            <w:tcW w:w="1723" w:type="dxa"/>
            <w:vAlign w:val="center"/>
          </w:tcPr>
          <w:p>
            <w:pPr>
              <w:widowControl/>
              <w:jc w:val="center"/>
              <w:rPr>
                <w:rFonts w:ascii="宋体" w:hAnsi="宋体" w:eastAsia="宋体"/>
                <w:sz w:val="18"/>
                <w:szCs w:val="18"/>
                <w:highlight w:val="none"/>
              </w:rPr>
            </w:pPr>
            <w:r>
              <w:rPr>
                <w:rFonts w:hint="eastAsia" w:ascii="宋体" w:hAnsi="宋体" w:eastAsia="宋体"/>
                <w:sz w:val="18"/>
                <w:szCs w:val="18"/>
                <w:highlight w:val="none"/>
              </w:rPr>
              <w:t>网络攻防技术</w:t>
            </w:r>
          </w:p>
        </w:tc>
        <w:tc>
          <w:tcPr>
            <w:tcW w:w="900"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96</w:t>
            </w:r>
          </w:p>
        </w:tc>
        <w:tc>
          <w:tcPr>
            <w:tcW w:w="803" w:type="dxa"/>
            <w:vAlign w:val="center"/>
          </w:tcPr>
          <w:p>
            <w:pPr>
              <w:pStyle w:val="7"/>
              <w:tabs>
                <w:tab w:val="clear" w:pos="945"/>
              </w:tabs>
              <w:ind w:firstLine="0" w:firstLineChars="0"/>
              <w:jc w:val="center"/>
              <w:rPr>
                <w:rFonts w:ascii="宋体" w:hAnsi="宋体" w:eastAsia="宋体"/>
                <w:sz w:val="18"/>
                <w:szCs w:val="18"/>
                <w:highlight w:val="none"/>
              </w:rPr>
            </w:pPr>
          </w:p>
        </w:tc>
        <w:tc>
          <w:tcPr>
            <w:tcW w:w="1170" w:type="dxa"/>
            <w:vAlign w:val="center"/>
          </w:tcPr>
          <w:p>
            <w:pPr>
              <w:pStyle w:val="7"/>
              <w:tabs>
                <w:tab w:val="clear" w:pos="945"/>
              </w:tabs>
              <w:ind w:firstLine="0" w:firstLineChars="0"/>
              <w:jc w:val="center"/>
              <w:rPr>
                <w:rFonts w:ascii="宋体" w:hAnsi="宋体" w:eastAsia="宋体"/>
                <w:sz w:val="18"/>
                <w:szCs w:val="18"/>
                <w:highlight w:val="none"/>
              </w:rPr>
            </w:pPr>
          </w:p>
        </w:tc>
        <w:tc>
          <w:tcPr>
            <w:tcW w:w="962" w:type="dxa"/>
            <w:vAlign w:val="center"/>
          </w:tcPr>
          <w:p>
            <w:pPr>
              <w:pStyle w:val="7"/>
              <w:tabs>
                <w:tab w:val="clear" w:pos="945"/>
              </w:tabs>
              <w:ind w:firstLine="0" w:firstLineChars="0"/>
              <w:jc w:val="center"/>
              <w:rPr>
                <w:rFonts w:ascii="宋体" w:hAnsi="宋体" w:eastAsia="宋体"/>
                <w:sz w:val="18"/>
                <w:szCs w:val="18"/>
                <w:highlight w:val="none"/>
              </w:rPr>
            </w:pPr>
          </w:p>
        </w:tc>
        <w:tc>
          <w:tcPr>
            <w:tcW w:w="900" w:type="dxa"/>
            <w:vAlign w:val="center"/>
          </w:tcPr>
          <w:p>
            <w:pPr>
              <w:pStyle w:val="7"/>
              <w:tabs>
                <w:tab w:val="clear" w:pos="945"/>
              </w:tabs>
              <w:ind w:firstLine="0" w:firstLineChars="0"/>
              <w:jc w:val="center"/>
              <w:rPr>
                <w:rFonts w:ascii="宋体" w:hAnsi="宋体" w:eastAsia="宋体"/>
                <w:sz w:val="18"/>
                <w:szCs w:val="18"/>
                <w:highlight w:val="none"/>
              </w:rPr>
            </w:pPr>
          </w:p>
        </w:tc>
        <w:tc>
          <w:tcPr>
            <w:tcW w:w="1080"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96</w:t>
            </w:r>
          </w:p>
        </w:tc>
        <w:tc>
          <w:tcPr>
            <w:tcW w:w="1025" w:type="dxa"/>
            <w:vAlign w:val="center"/>
          </w:tcPr>
          <w:p>
            <w:pPr>
              <w:pStyle w:val="7"/>
              <w:tabs>
                <w:tab w:val="clear" w:pos="945"/>
              </w:tabs>
              <w:ind w:firstLine="0" w:firstLineChars="0"/>
              <w:jc w:val="center"/>
              <w:rPr>
                <w:rFonts w:ascii="宋体" w:hAnsi="宋体" w:eastAsia="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425" w:type="dxa"/>
            <w:gridSpan w:val="2"/>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合计</w:t>
            </w:r>
          </w:p>
        </w:tc>
        <w:tc>
          <w:tcPr>
            <w:tcW w:w="900"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96</w:t>
            </w:r>
          </w:p>
        </w:tc>
        <w:tc>
          <w:tcPr>
            <w:tcW w:w="803" w:type="dxa"/>
            <w:vAlign w:val="center"/>
          </w:tcPr>
          <w:p>
            <w:pPr>
              <w:pStyle w:val="7"/>
              <w:tabs>
                <w:tab w:val="clear" w:pos="945"/>
              </w:tabs>
              <w:ind w:firstLine="0" w:firstLineChars="0"/>
              <w:jc w:val="center"/>
              <w:rPr>
                <w:rFonts w:ascii="宋体" w:hAnsi="宋体" w:eastAsia="宋体"/>
                <w:sz w:val="18"/>
                <w:szCs w:val="18"/>
                <w:highlight w:val="none"/>
              </w:rPr>
            </w:pPr>
          </w:p>
        </w:tc>
        <w:tc>
          <w:tcPr>
            <w:tcW w:w="1170" w:type="dxa"/>
            <w:vAlign w:val="center"/>
          </w:tcPr>
          <w:p>
            <w:pPr>
              <w:pStyle w:val="7"/>
              <w:tabs>
                <w:tab w:val="clear" w:pos="945"/>
              </w:tabs>
              <w:ind w:firstLine="0" w:firstLineChars="0"/>
              <w:jc w:val="center"/>
              <w:rPr>
                <w:rFonts w:ascii="宋体" w:hAnsi="宋体" w:eastAsia="宋体"/>
                <w:sz w:val="18"/>
                <w:szCs w:val="18"/>
                <w:highlight w:val="none"/>
              </w:rPr>
            </w:pPr>
          </w:p>
        </w:tc>
        <w:tc>
          <w:tcPr>
            <w:tcW w:w="962" w:type="dxa"/>
            <w:vAlign w:val="center"/>
          </w:tcPr>
          <w:p>
            <w:pPr>
              <w:pStyle w:val="7"/>
              <w:tabs>
                <w:tab w:val="clear" w:pos="945"/>
              </w:tabs>
              <w:ind w:firstLine="0" w:firstLineChars="0"/>
              <w:jc w:val="center"/>
              <w:rPr>
                <w:rFonts w:ascii="宋体" w:hAnsi="宋体" w:eastAsia="宋体"/>
                <w:sz w:val="18"/>
                <w:szCs w:val="18"/>
                <w:highlight w:val="none"/>
              </w:rPr>
            </w:pPr>
          </w:p>
        </w:tc>
        <w:tc>
          <w:tcPr>
            <w:tcW w:w="900" w:type="dxa"/>
            <w:vAlign w:val="center"/>
          </w:tcPr>
          <w:p>
            <w:pPr>
              <w:pStyle w:val="7"/>
              <w:tabs>
                <w:tab w:val="clear" w:pos="945"/>
              </w:tabs>
              <w:ind w:firstLine="0" w:firstLineChars="0"/>
              <w:jc w:val="center"/>
              <w:rPr>
                <w:rFonts w:ascii="宋体" w:hAnsi="宋体" w:eastAsia="宋体"/>
                <w:sz w:val="18"/>
                <w:szCs w:val="18"/>
                <w:highlight w:val="none"/>
              </w:rPr>
            </w:pPr>
          </w:p>
        </w:tc>
        <w:tc>
          <w:tcPr>
            <w:tcW w:w="1080"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96</w:t>
            </w:r>
          </w:p>
        </w:tc>
        <w:tc>
          <w:tcPr>
            <w:tcW w:w="1025" w:type="dxa"/>
            <w:vAlign w:val="center"/>
          </w:tcPr>
          <w:p>
            <w:pPr>
              <w:pStyle w:val="7"/>
              <w:tabs>
                <w:tab w:val="clear" w:pos="945"/>
              </w:tabs>
              <w:ind w:firstLine="0" w:firstLineChars="0"/>
              <w:jc w:val="center"/>
              <w:rPr>
                <w:rFonts w:ascii="宋体" w:hAnsi="宋体" w:eastAsia="宋体"/>
                <w:sz w:val="18"/>
                <w:szCs w:val="18"/>
                <w:highlight w:val="none"/>
              </w:rPr>
            </w:pPr>
          </w:p>
        </w:tc>
      </w:tr>
    </w:tbl>
    <w:p>
      <w:pPr>
        <w:spacing w:line="400" w:lineRule="exact"/>
        <w:rPr>
          <w:rFonts w:ascii="宋体" w:hAnsi="宋体" w:eastAsia="宋体"/>
          <w:highlight w:val="none"/>
        </w:rPr>
      </w:pPr>
    </w:p>
    <w:p>
      <w:pPr>
        <w:spacing w:line="400" w:lineRule="exact"/>
        <w:ind w:firstLine="315" w:firstLineChars="150"/>
        <w:rPr>
          <w:rFonts w:ascii="宋体" w:hAnsi="宋体" w:eastAsia="宋体"/>
          <w:highlight w:val="none"/>
        </w:rPr>
      </w:pPr>
      <w:r>
        <w:rPr>
          <w:rFonts w:hint="eastAsia" w:ascii="宋体" w:hAnsi="宋体" w:eastAsia="宋体"/>
          <w:highlight w:val="none"/>
        </w:rPr>
        <w:t xml:space="preserve"> （四）课程结构比例表</w:t>
      </w:r>
    </w:p>
    <w:tbl>
      <w:tblPr>
        <w:tblStyle w:val="13"/>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1780"/>
        <w:gridCol w:w="1780"/>
        <w:gridCol w:w="1780"/>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24" w:type="dxa"/>
            <w:vMerge w:val="restart"/>
            <w:vAlign w:val="center"/>
          </w:tcPr>
          <w:p>
            <w:pPr>
              <w:spacing w:line="360" w:lineRule="exact"/>
              <w:jc w:val="center"/>
              <w:rPr>
                <w:rFonts w:ascii="宋体" w:hAnsi="宋体" w:eastAsia="宋体"/>
                <w:sz w:val="18"/>
                <w:szCs w:val="18"/>
                <w:highlight w:val="none"/>
              </w:rPr>
            </w:pPr>
            <w:bookmarkStart w:id="6" w:name="_Toc327706746"/>
            <w:r>
              <w:rPr>
                <w:rFonts w:hint="eastAsia" w:ascii="宋体" w:hAnsi="宋体" w:eastAsia="宋体"/>
                <w:sz w:val="18"/>
                <w:szCs w:val="18"/>
                <w:highlight w:val="none"/>
              </w:rPr>
              <w:t>课程类型</w:t>
            </w:r>
          </w:p>
        </w:tc>
        <w:tc>
          <w:tcPr>
            <w:tcW w:w="7118" w:type="dxa"/>
            <w:gridSpan w:val="4"/>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课时分配及比例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24" w:type="dxa"/>
            <w:vMerge w:val="continue"/>
            <w:vAlign w:val="center"/>
          </w:tcPr>
          <w:p>
            <w:pPr>
              <w:spacing w:line="360" w:lineRule="exact"/>
              <w:jc w:val="center"/>
              <w:rPr>
                <w:rFonts w:ascii="宋体" w:hAnsi="宋体" w:eastAsia="宋体"/>
                <w:sz w:val="18"/>
                <w:szCs w:val="18"/>
                <w:highlight w:val="none"/>
              </w:rPr>
            </w:pPr>
          </w:p>
        </w:tc>
        <w:tc>
          <w:tcPr>
            <w:tcW w:w="1780"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理论</w:t>
            </w:r>
          </w:p>
        </w:tc>
        <w:tc>
          <w:tcPr>
            <w:tcW w:w="1780"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实践</w:t>
            </w:r>
          </w:p>
        </w:tc>
        <w:tc>
          <w:tcPr>
            <w:tcW w:w="1780"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合计</w:t>
            </w:r>
          </w:p>
        </w:tc>
        <w:tc>
          <w:tcPr>
            <w:tcW w:w="1778"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通用职业能力素养课程</w:t>
            </w:r>
          </w:p>
        </w:tc>
        <w:tc>
          <w:tcPr>
            <w:tcW w:w="1780"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544</w:t>
            </w:r>
          </w:p>
        </w:tc>
        <w:tc>
          <w:tcPr>
            <w:tcW w:w="1780"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312</w:t>
            </w:r>
          </w:p>
        </w:tc>
        <w:tc>
          <w:tcPr>
            <w:tcW w:w="1780"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856</w:t>
            </w:r>
          </w:p>
        </w:tc>
        <w:tc>
          <w:tcPr>
            <w:tcW w:w="1778"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平台共享课程</w:t>
            </w:r>
          </w:p>
        </w:tc>
        <w:tc>
          <w:tcPr>
            <w:tcW w:w="1780"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178</w:t>
            </w:r>
          </w:p>
        </w:tc>
        <w:tc>
          <w:tcPr>
            <w:tcW w:w="1780"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178</w:t>
            </w:r>
          </w:p>
        </w:tc>
        <w:tc>
          <w:tcPr>
            <w:tcW w:w="1780"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356</w:t>
            </w:r>
          </w:p>
        </w:tc>
        <w:tc>
          <w:tcPr>
            <w:tcW w:w="1778"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特色分立课程</w:t>
            </w:r>
          </w:p>
        </w:tc>
        <w:tc>
          <w:tcPr>
            <w:tcW w:w="1780"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456</w:t>
            </w:r>
          </w:p>
        </w:tc>
        <w:tc>
          <w:tcPr>
            <w:tcW w:w="1780"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740</w:t>
            </w:r>
          </w:p>
        </w:tc>
        <w:tc>
          <w:tcPr>
            <w:tcW w:w="1780"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1196</w:t>
            </w:r>
          </w:p>
        </w:tc>
        <w:tc>
          <w:tcPr>
            <w:tcW w:w="1778"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互选拓展课程</w:t>
            </w:r>
          </w:p>
        </w:tc>
        <w:tc>
          <w:tcPr>
            <w:tcW w:w="1780"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32</w:t>
            </w:r>
          </w:p>
        </w:tc>
        <w:tc>
          <w:tcPr>
            <w:tcW w:w="1780"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32</w:t>
            </w:r>
          </w:p>
        </w:tc>
        <w:tc>
          <w:tcPr>
            <w:tcW w:w="1780"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64</w:t>
            </w:r>
          </w:p>
        </w:tc>
        <w:tc>
          <w:tcPr>
            <w:tcW w:w="1778"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公共选修课</w:t>
            </w:r>
          </w:p>
        </w:tc>
        <w:tc>
          <w:tcPr>
            <w:tcW w:w="1780"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62</w:t>
            </w:r>
          </w:p>
        </w:tc>
        <w:tc>
          <w:tcPr>
            <w:tcW w:w="1780"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40</w:t>
            </w:r>
          </w:p>
        </w:tc>
        <w:tc>
          <w:tcPr>
            <w:tcW w:w="1780"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102</w:t>
            </w:r>
          </w:p>
        </w:tc>
        <w:tc>
          <w:tcPr>
            <w:tcW w:w="1778"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合计</w:t>
            </w:r>
          </w:p>
        </w:tc>
        <w:tc>
          <w:tcPr>
            <w:tcW w:w="1780" w:type="dxa"/>
            <w:vAlign w:val="bottom"/>
          </w:tcPr>
          <w:p>
            <w:pPr>
              <w:keepNext w:val="0"/>
              <w:keepLines w:val="0"/>
              <w:widowControl/>
              <w:suppressLineNumbers w:val="0"/>
              <w:jc w:val="center"/>
              <w:textAlignment w:val="bottom"/>
              <w:rPr>
                <w:rFonts w:hint="eastAsia" w:ascii="宋体" w:hAnsi="宋体" w:eastAsia="宋体" w:cs="@仿宋_GB2312"/>
                <w:kern w:val="2"/>
                <w:sz w:val="18"/>
                <w:szCs w:val="18"/>
                <w:highlight w:val="none"/>
                <w:lang w:val="en-US" w:eastAsia="zh-CN" w:bidi="ar-SA"/>
              </w:rPr>
            </w:pPr>
            <w:r>
              <w:rPr>
                <w:rFonts w:hint="eastAsia" w:ascii="宋体" w:hAnsi="宋体" w:eastAsia="宋体" w:cs="@仿宋_GB2312"/>
                <w:kern w:val="2"/>
                <w:sz w:val="18"/>
                <w:szCs w:val="18"/>
                <w:highlight w:val="none"/>
                <w:lang w:val="en-US" w:eastAsia="zh-CN" w:bidi="ar-SA"/>
              </w:rPr>
              <w:t>1272</w:t>
            </w:r>
          </w:p>
        </w:tc>
        <w:tc>
          <w:tcPr>
            <w:tcW w:w="1780" w:type="dxa"/>
            <w:vAlign w:val="bottom"/>
          </w:tcPr>
          <w:p>
            <w:pPr>
              <w:keepNext w:val="0"/>
              <w:keepLines w:val="0"/>
              <w:widowControl/>
              <w:suppressLineNumbers w:val="0"/>
              <w:jc w:val="center"/>
              <w:textAlignment w:val="bottom"/>
              <w:rPr>
                <w:rFonts w:hint="eastAsia" w:ascii="宋体" w:hAnsi="宋体" w:eastAsia="宋体" w:cs="@仿宋_GB2312"/>
                <w:kern w:val="2"/>
                <w:sz w:val="18"/>
                <w:szCs w:val="18"/>
                <w:highlight w:val="none"/>
                <w:lang w:val="en-US" w:eastAsia="zh-CN" w:bidi="ar-SA"/>
              </w:rPr>
            </w:pPr>
            <w:r>
              <w:rPr>
                <w:rFonts w:hint="eastAsia" w:ascii="宋体" w:hAnsi="宋体" w:eastAsia="宋体" w:cs="@仿宋_GB2312"/>
                <w:kern w:val="2"/>
                <w:sz w:val="18"/>
                <w:szCs w:val="18"/>
                <w:highlight w:val="none"/>
                <w:lang w:val="en-US" w:eastAsia="zh-CN" w:bidi="ar-SA"/>
              </w:rPr>
              <w:t>1302</w:t>
            </w:r>
          </w:p>
        </w:tc>
        <w:tc>
          <w:tcPr>
            <w:tcW w:w="1780" w:type="dxa"/>
            <w:vAlign w:val="bottom"/>
          </w:tcPr>
          <w:p>
            <w:pPr>
              <w:keepNext w:val="0"/>
              <w:keepLines w:val="0"/>
              <w:widowControl/>
              <w:suppressLineNumbers w:val="0"/>
              <w:jc w:val="center"/>
              <w:textAlignment w:val="bottom"/>
              <w:rPr>
                <w:rFonts w:hint="eastAsia" w:ascii="宋体" w:hAnsi="宋体" w:eastAsia="宋体" w:cs="@仿宋_GB2312"/>
                <w:kern w:val="2"/>
                <w:sz w:val="18"/>
                <w:szCs w:val="18"/>
                <w:highlight w:val="none"/>
                <w:lang w:val="en-US" w:eastAsia="zh-CN" w:bidi="ar-SA"/>
              </w:rPr>
            </w:pPr>
            <w:r>
              <w:rPr>
                <w:rFonts w:hint="eastAsia" w:ascii="宋体" w:hAnsi="宋体" w:eastAsia="宋体" w:cs="@仿宋_GB2312"/>
                <w:kern w:val="2"/>
                <w:sz w:val="18"/>
                <w:szCs w:val="18"/>
                <w:highlight w:val="none"/>
                <w:lang w:val="en-US" w:eastAsia="zh-CN" w:bidi="ar-SA"/>
              </w:rPr>
              <w:t>2574</w:t>
            </w:r>
          </w:p>
        </w:tc>
        <w:tc>
          <w:tcPr>
            <w:tcW w:w="1778"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highlight w:val="none"/>
              </w:rPr>
            </w:pPr>
            <w:r>
              <w:rPr>
                <w:rFonts w:hint="eastAsia" w:ascii="宋体" w:hAnsi="宋体" w:eastAsia="宋体"/>
                <w:sz w:val="18"/>
                <w:szCs w:val="18"/>
                <w:highlight w:val="none"/>
              </w:rPr>
              <w:t>比例</w:t>
            </w:r>
          </w:p>
        </w:tc>
        <w:tc>
          <w:tcPr>
            <w:tcW w:w="1780" w:type="dxa"/>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49.4%</w:t>
            </w:r>
          </w:p>
        </w:tc>
        <w:tc>
          <w:tcPr>
            <w:tcW w:w="1780"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50.6%</w:t>
            </w:r>
          </w:p>
        </w:tc>
        <w:tc>
          <w:tcPr>
            <w:tcW w:w="1780" w:type="dxa"/>
            <w:vAlign w:val="center"/>
          </w:tcPr>
          <w:p>
            <w:pPr>
              <w:pStyle w:val="7"/>
              <w:tabs>
                <w:tab w:val="clear" w:pos="945"/>
              </w:tabs>
              <w:ind w:firstLine="0" w:firstLineChars="0"/>
              <w:jc w:val="center"/>
              <w:rPr>
                <w:rFonts w:ascii="宋体" w:hAnsi="宋体" w:eastAsia="宋体"/>
                <w:sz w:val="18"/>
                <w:szCs w:val="18"/>
                <w:highlight w:val="none"/>
              </w:rPr>
            </w:pPr>
            <w:r>
              <w:rPr>
                <w:rFonts w:hint="eastAsia" w:ascii="宋体" w:hAnsi="宋体" w:eastAsia="宋体"/>
                <w:sz w:val="18"/>
                <w:szCs w:val="18"/>
                <w:highlight w:val="none"/>
              </w:rPr>
              <w:t>100%</w:t>
            </w:r>
          </w:p>
        </w:tc>
        <w:tc>
          <w:tcPr>
            <w:tcW w:w="1778" w:type="dxa"/>
            <w:vAlign w:val="center"/>
          </w:tcPr>
          <w:p>
            <w:pPr>
              <w:pStyle w:val="7"/>
              <w:tabs>
                <w:tab w:val="clear" w:pos="945"/>
              </w:tabs>
              <w:ind w:firstLine="0" w:firstLineChars="0"/>
              <w:jc w:val="center"/>
              <w:rPr>
                <w:rFonts w:ascii="宋体" w:hAnsi="宋体" w:eastAsia="宋体"/>
                <w:sz w:val="18"/>
                <w:szCs w:val="18"/>
                <w:highlight w:val="none"/>
              </w:rPr>
            </w:pPr>
          </w:p>
        </w:tc>
      </w:tr>
    </w:tbl>
    <w:p>
      <w:pPr>
        <w:spacing w:line="400" w:lineRule="exact"/>
        <w:rPr>
          <w:rFonts w:ascii="宋体" w:hAnsi="宋体" w:eastAsia="宋体"/>
          <w:highlight w:val="none"/>
        </w:rPr>
      </w:pPr>
    </w:p>
    <w:p>
      <w:pPr>
        <w:snapToGrid w:val="0"/>
        <w:spacing w:line="380" w:lineRule="exact"/>
        <w:ind w:firstLine="482" w:firstLineChars="200"/>
        <w:outlineLvl w:val="0"/>
        <w:rPr>
          <w:rFonts w:ascii="宋体" w:hAnsi="宋体" w:eastAsia="宋体"/>
          <w:b/>
          <w:sz w:val="24"/>
          <w:highlight w:val="none"/>
        </w:rPr>
      </w:pPr>
      <w:r>
        <w:rPr>
          <w:rFonts w:hint="eastAsia" w:ascii="宋体" w:hAnsi="宋体" w:eastAsia="宋体"/>
          <w:b/>
          <w:sz w:val="24"/>
          <w:highlight w:val="none"/>
        </w:rPr>
        <w:t>八、教学资源配置与要求</w:t>
      </w:r>
      <w:bookmarkEnd w:id="6"/>
    </w:p>
    <w:p>
      <w:pPr>
        <w:snapToGrid w:val="0"/>
        <w:spacing w:line="380" w:lineRule="exact"/>
        <w:ind w:firstLine="420" w:firstLineChars="200"/>
        <w:outlineLvl w:val="1"/>
        <w:rPr>
          <w:rFonts w:ascii="宋体" w:hAnsi="宋体" w:eastAsia="宋体"/>
          <w:szCs w:val="21"/>
          <w:highlight w:val="none"/>
        </w:rPr>
      </w:pPr>
      <w:bookmarkStart w:id="7" w:name="_Toc327706747"/>
      <w:bookmarkStart w:id="8" w:name="_Toc327706748"/>
      <w:r>
        <w:rPr>
          <w:rFonts w:hint="eastAsia" w:ascii="宋体" w:hAnsi="宋体" w:eastAsia="宋体"/>
          <w:szCs w:val="21"/>
          <w:highlight w:val="none"/>
        </w:rPr>
        <w:t>（一）师资条件</w:t>
      </w:r>
      <w:bookmarkEnd w:id="7"/>
    </w:p>
    <w:p>
      <w:pPr>
        <w:snapToGrid w:val="0"/>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本专业共有专兼职教师12人，聘请多名企业、行业专家、资深工程师担任本专业的客座教授及校外实训兼职教师。已形成了由专业带头人、骨干教师和专业教师组成的三层梯队，教师职称、年龄结构合理，双师素质教师比例62%，网络技术教学团队为院级优秀教学团队。硕士学位11人，占92%，双师型教师9人，占75%。 </w:t>
      </w:r>
    </w:p>
    <w:p>
      <w:pPr>
        <w:snapToGrid w:val="0"/>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 1.专业带头人</w:t>
      </w:r>
    </w:p>
    <w:p>
      <w:pPr>
        <w:numPr>
          <w:ilvl w:val="1"/>
          <w:numId w:val="8"/>
        </w:numPr>
        <w:spacing w:line="380" w:lineRule="exact"/>
        <w:ind w:left="420" w:firstLine="420" w:firstLineChars="2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具有较高的专业学术水平，副高以上职称。</w:t>
      </w:r>
    </w:p>
    <w:p>
      <w:pPr>
        <w:numPr>
          <w:ilvl w:val="1"/>
          <w:numId w:val="8"/>
        </w:numPr>
        <w:spacing w:line="380" w:lineRule="exact"/>
        <w:ind w:left="420" w:firstLine="420" w:firstLineChars="2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具有先进的教学理念、较强的教学设计、丰富的教学经验，能够把握行业中的新技术和新动态。</w:t>
      </w:r>
    </w:p>
    <w:p>
      <w:pPr>
        <w:numPr>
          <w:ilvl w:val="1"/>
          <w:numId w:val="8"/>
        </w:numPr>
        <w:spacing w:line="380" w:lineRule="exact"/>
        <w:ind w:left="420" w:firstLine="420" w:firstLineChars="2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具有较高的职业教育教学规律认识水平，熟悉基于工作过程、项目导向等课程开发流程与开发方法，具有丰富的教学经验。</w:t>
      </w:r>
    </w:p>
    <w:p>
      <w:pPr>
        <w:numPr>
          <w:ilvl w:val="1"/>
          <w:numId w:val="8"/>
        </w:numPr>
        <w:spacing w:line="380" w:lineRule="exact"/>
        <w:ind w:left="420" w:firstLine="420" w:firstLineChars="2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具有较强课程开发、教学改革和科研能力，能够根据职业发展的需求及时调整人才培养方案和专业课程体系。</w:t>
      </w:r>
    </w:p>
    <w:p>
      <w:pPr>
        <w:numPr>
          <w:ilvl w:val="1"/>
          <w:numId w:val="8"/>
        </w:numPr>
        <w:spacing w:line="380" w:lineRule="exact"/>
        <w:ind w:left="420" w:firstLine="420" w:firstLineChars="2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具有较强的组织协调能力，能够带领专业教学团队进行教育教学改革。 </w:t>
      </w:r>
    </w:p>
    <w:p>
      <w:pPr>
        <w:numPr>
          <w:ilvl w:val="1"/>
          <w:numId w:val="8"/>
        </w:numPr>
        <w:adjustRightInd w:val="0"/>
        <w:snapToGrid w:val="0"/>
        <w:spacing w:line="380" w:lineRule="exact"/>
        <w:ind w:left="420" w:firstLine="420" w:firstLineChars="2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具有2年以上IT行业企业的实践工作经历，具有高级考评员、工程师或以上资格。</w:t>
      </w:r>
    </w:p>
    <w:p>
      <w:pPr>
        <w:numPr>
          <w:ilvl w:val="1"/>
          <w:numId w:val="8"/>
        </w:numPr>
        <w:adjustRightInd w:val="0"/>
        <w:snapToGrid w:val="0"/>
        <w:spacing w:line="380" w:lineRule="exact"/>
        <w:ind w:left="420" w:firstLine="420" w:firstLineChars="200"/>
        <w:rPr>
          <w:rFonts w:ascii="宋体" w:hAnsi="宋体" w:eastAsia="宋体"/>
          <w:szCs w:val="21"/>
          <w:highlight w:val="none"/>
        </w:rPr>
      </w:pPr>
      <w:r>
        <w:rPr>
          <w:rFonts w:hint="eastAsia" w:ascii="宋体" w:hAnsi="宋体" w:eastAsia="宋体" w:cs="Times New Roman"/>
          <w:color w:val="000000"/>
          <w:szCs w:val="21"/>
          <w:highlight w:val="none"/>
        </w:rPr>
        <w:t>具备指导青年骨干教师的能力。</w:t>
      </w:r>
    </w:p>
    <w:p>
      <w:pPr>
        <w:snapToGrid w:val="0"/>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 2.骨干教师队伍</w:t>
      </w:r>
    </w:p>
    <w:p>
      <w:pPr>
        <w:numPr>
          <w:ilvl w:val="1"/>
          <w:numId w:val="8"/>
        </w:numPr>
        <w:snapToGrid w:val="0"/>
        <w:spacing w:line="380" w:lineRule="exact"/>
        <w:ind w:left="420" w:firstLine="420" w:firstLineChars="2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具有良好的思想政治素质、职业道德和优良学风。</w:t>
      </w:r>
    </w:p>
    <w:p>
      <w:pPr>
        <w:numPr>
          <w:ilvl w:val="1"/>
          <w:numId w:val="8"/>
        </w:numPr>
        <w:snapToGrid w:val="0"/>
        <w:spacing w:line="380" w:lineRule="exact"/>
        <w:ind w:left="420" w:firstLine="420" w:firstLineChars="2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从事教学科研第一线工作，年龄一般在45周岁以下（含45周岁），具有讲师以上职称或具有硕士学位。</w:t>
      </w:r>
    </w:p>
    <w:p>
      <w:pPr>
        <w:numPr>
          <w:ilvl w:val="1"/>
          <w:numId w:val="8"/>
        </w:numPr>
        <w:snapToGrid w:val="0"/>
        <w:spacing w:line="380" w:lineRule="exact"/>
        <w:ind w:left="420" w:firstLine="420" w:firstLineChars="2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对核心课程较熟悉，近三年来，系统讲授一门及以上基础课或专业基础课，或讲授一门及以上专业核心课。</w:t>
      </w:r>
    </w:p>
    <w:p>
      <w:pPr>
        <w:numPr>
          <w:ilvl w:val="1"/>
          <w:numId w:val="8"/>
        </w:numPr>
        <w:snapToGrid w:val="0"/>
        <w:spacing w:line="380" w:lineRule="exact"/>
        <w:ind w:left="420" w:firstLine="420" w:firstLineChars="2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参与示范专业建设方案的实施；或参与（前三名）完成精品课程的建设；或参与（前三名）完成专业教学计划的制定；或参与（前两名）完成实训场所的建设；或参与完成一门课程课件的制作；或负责完成课程教学大纲（实训大纲）的制定。</w:t>
      </w:r>
    </w:p>
    <w:p>
      <w:pPr>
        <w:numPr>
          <w:ilvl w:val="1"/>
          <w:numId w:val="8"/>
        </w:numPr>
        <w:snapToGrid w:val="0"/>
        <w:spacing w:line="380" w:lineRule="exact"/>
        <w:ind w:left="420" w:firstLine="420" w:firstLineChars="2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有企业工作经历或兼职经历1年以上。</w:t>
      </w:r>
    </w:p>
    <w:p>
      <w:pPr>
        <w:numPr>
          <w:ilvl w:val="1"/>
          <w:numId w:val="8"/>
        </w:numPr>
        <w:snapToGrid w:val="0"/>
        <w:spacing w:line="380" w:lineRule="exact"/>
        <w:ind w:left="420" w:firstLine="420" w:firstLineChars="200"/>
        <w:rPr>
          <w:rFonts w:ascii="宋体" w:hAnsi="宋体" w:eastAsia="宋体"/>
          <w:szCs w:val="21"/>
          <w:highlight w:val="none"/>
        </w:rPr>
      </w:pPr>
      <w:r>
        <w:rPr>
          <w:rFonts w:hint="eastAsia" w:ascii="宋体" w:hAnsi="宋体" w:eastAsia="宋体" w:cs="Times New Roman"/>
          <w:color w:val="000000"/>
          <w:szCs w:val="21"/>
          <w:highlight w:val="none"/>
        </w:rPr>
        <w:t>科研能力较强，科研水平较高。</w:t>
      </w:r>
    </w:p>
    <w:p>
      <w:pPr>
        <w:snapToGrid w:val="0"/>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 3.兼职教师队伍</w:t>
      </w:r>
    </w:p>
    <w:p>
      <w:pPr>
        <w:spacing w:line="38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兼职教师要求网络建设经验丰富，来源与数量稳定。行业专家要求具有高级职称资格、本科或以上学历，担任公司技术骨干或重要职位，精通网络技术或物联网工程技术。本专业需聘请校外兼职教师4名，行业专家2名。兼职教师参与教学研究，教学效果好。兼职教师的要求如下：</w:t>
      </w:r>
    </w:p>
    <w:p>
      <w:pPr>
        <w:snapToGrid w:val="0"/>
        <w:spacing w:line="380" w:lineRule="exact"/>
        <w:ind w:firstLine="420" w:firstLineChars="200"/>
        <w:rPr>
          <w:rFonts w:ascii="宋体" w:hAnsi="宋体" w:eastAsia="宋体" w:cs="宋体"/>
          <w:color w:val="000000"/>
          <w:szCs w:val="21"/>
          <w:highlight w:val="none"/>
        </w:rPr>
      </w:pPr>
      <w:bookmarkStart w:id="9" w:name="_Toc256035205"/>
      <w:r>
        <w:rPr>
          <w:rFonts w:hint="eastAsia" w:ascii="宋体" w:hAnsi="宋体" w:eastAsia="宋体" w:cs="宋体"/>
          <w:color w:val="000000"/>
          <w:szCs w:val="21"/>
          <w:highlight w:val="none"/>
        </w:rPr>
        <w:t>（1）在本专业相关企业技术或工程部一线从事技术工作3年以上</w:t>
      </w:r>
      <w:bookmarkEnd w:id="9"/>
      <w:r>
        <w:rPr>
          <w:rFonts w:hint="eastAsia" w:ascii="宋体" w:hAnsi="宋体" w:eastAsia="宋体" w:cs="宋体"/>
          <w:color w:val="000000"/>
          <w:szCs w:val="21"/>
          <w:highlight w:val="none"/>
        </w:rPr>
        <w:t>；</w:t>
      </w:r>
    </w:p>
    <w:p>
      <w:pPr>
        <w:snapToGrid w:val="0"/>
        <w:spacing w:line="380" w:lineRule="exact"/>
        <w:ind w:firstLine="420" w:firstLineChars="200"/>
        <w:rPr>
          <w:rFonts w:ascii="宋体" w:hAnsi="宋体" w:eastAsia="宋体" w:cs="宋体"/>
          <w:color w:val="000000"/>
          <w:szCs w:val="21"/>
          <w:highlight w:val="none"/>
        </w:rPr>
      </w:pPr>
      <w:bookmarkStart w:id="10" w:name="_Toc256035206"/>
      <w:r>
        <w:rPr>
          <w:rFonts w:hint="eastAsia" w:ascii="宋体" w:hAnsi="宋体" w:eastAsia="宋体" w:cs="宋体"/>
          <w:color w:val="000000"/>
          <w:szCs w:val="21"/>
          <w:highlight w:val="none"/>
        </w:rPr>
        <w:t>（2）经过职业教育培训，能承担起本专业实践教学任务</w:t>
      </w:r>
      <w:bookmarkEnd w:id="10"/>
      <w:r>
        <w:rPr>
          <w:rFonts w:hint="eastAsia" w:ascii="宋体" w:hAnsi="宋体" w:eastAsia="宋体" w:cs="宋体"/>
          <w:color w:val="000000"/>
          <w:szCs w:val="21"/>
          <w:highlight w:val="none"/>
        </w:rPr>
        <w:t>；</w:t>
      </w:r>
    </w:p>
    <w:p>
      <w:pPr>
        <w:snapToGrid w:val="0"/>
        <w:spacing w:line="380" w:lineRule="exact"/>
        <w:ind w:firstLine="420" w:firstLineChars="200"/>
        <w:rPr>
          <w:rFonts w:ascii="宋体" w:hAnsi="宋体" w:eastAsia="宋体" w:cs="宋体"/>
          <w:color w:val="000000"/>
          <w:szCs w:val="21"/>
          <w:highlight w:val="none"/>
        </w:rPr>
      </w:pPr>
      <w:bookmarkStart w:id="11" w:name="_Toc256035207"/>
      <w:r>
        <w:rPr>
          <w:rFonts w:hint="eastAsia" w:ascii="宋体" w:hAnsi="宋体" w:eastAsia="宋体" w:cs="宋体"/>
          <w:color w:val="000000"/>
          <w:szCs w:val="21"/>
          <w:highlight w:val="none"/>
        </w:rPr>
        <w:t>（3）在企业取得中级或以上职称的工程师、设计师或具有高级职称资格（具备同等能力水平亦可）等。</w:t>
      </w:r>
      <w:bookmarkEnd w:id="11"/>
    </w:p>
    <w:p>
      <w:pPr>
        <w:snapToGrid w:val="0"/>
        <w:spacing w:line="380" w:lineRule="exact"/>
        <w:ind w:firstLine="420" w:firstLineChars="200"/>
        <w:rPr>
          <w:rFonts w:ascii="宋体" w:hAnsi="宋体" w:eastAsia="宋体" w:cs="宋体"/>
          <w:color w:val="000000"/>
          <w:szCs w:val="21"/>
          <w:highlight w:val="none"/>
        </w:rPr>
      </w:pPr>
    </w:p>
    <w:p>
      <w:pPr>
        <w:snapToGrid w:val="0"/>
        <w:spacing w:line="380" w:lineRule="exact"/>
        <w:ind w:firstLine="420" w:firstLineChars="200"/>
        <w:rPr>
          <w:rFonts w:ascii="宋体" w:hAnsi="宋体" w:eastAsia="宋体" w:cs="宋体"/>
          <w:color w:val="000000"/>
          <w:szCs w:val="21"/>
          <w:highlight w:val="none"/>
        </w:rPr>
      </w:pPr>
    </w:p>
    <w:p>
      <w:pPr>
        <w:snapToGrid w:val="0"/>
        <w:spacing w:line="380" w:lineRule="exact"/>
        <w:ind w:firstLine="420" w:firstLineChars="200"/>
        <w:rPr>
          <w:rFonts w:ascii="宋体" w:hAnsi="宋体" w:eastAsia="宋体" w:cs="宋体"/>
          <w:color w:val="000000"/>
          <w:szCs w:val="21"/>
          <w:highlight w:val="none"/>
        </w:rPr>
      </w:pPr>
    </w:p>
    <w:p>
      <w:pPr>
        <w:snapToGrid w:val="0"/>
        <w:spacing w:line="380" w:lineRule="exact"/>
        <w:ind w:firstLine="420" w:firstLineChars="200"/>
        <w:rPr>
          <w:rFonts w:ascii="宋体" w:hAnsi="宋体" w:eastAsia="宋体" w:cs="宋体"/>
          <w:color w:val="000000"/>
          <w:szCs w:val="21"/>
          <w:highlight w:val="none"/>
        </w:rPr>
      </w:pPr>
    </w:p>
    <w:p>
      <w:pPr>
        <w:snapToGrid w:val="0"/>
        <w:spacing w:line="380" w:lineRule="exact"/>
        <w:ind w:firstLine="420" w:firstLineChars="200"/>
        <w:rPr>
          <w:rFonts w:ascii="宋体" w:hAnsi="宋体" w:eastAsia="宋体" w:cs="宋体"/>
          <w:color w:val="000000"/>
          <w:szCs w:val="21"/>
          <w:highlight w:val="none"/>
        </w:rPr>
      </w:pPr>
    </w:p>
    <w:p>
      <w:pPr>
        <w:snapToGrid w:val="0"/>
        <w:spacing w:line="380" w:lineRule="exact"/>
        <w:ind w:firstLine="420" w:firstLineChars="200"/>
        <w:rPr>
          <w:rFonts w:ascii="宋体" w:hAnsi="宋体" w:eastAsia="宋体" w:cs="宋体"/>
          <w:color w:val="000000"/>
          <w:szCs w:val="21"/>
          <w:highlight w:val="none"/>
        </w:rPr>
      </w:pPr>
    </w:p>
    <w:p>
      <w:pPr>
        <w:snapToGrid w:val="0"/>
        <w:spacing w:line="380" w:lineRule="exact"/>
        <w:ind w:firstLine="420" w:firstLineChars="200"/>
        <w:rPr>
          <w:rFonts w:ascii="宋体" w:hAnsi="宋体" w:eastAsia="宋体" w:cs="宋体"/>
          <w:color w:val="000000"/>
          <w:szCs w:val="21"/>
          <w:highlight w:val="none"/>
        </w:rPr>
      </w:pPr>
    </w:p>
    <w:p>
      <w:pPr>
        <w:snapToGrid w:val="0"/>
        <w:spacing w:line="380" w:lineRule="exact"/>
        <w:ind w:firstLine="420" w:firstLineChars="200"/>
        <w:rPr>
          <w:rFonts w:ascii="宋体" w:hAnsi="宋体" w:eastAsia="宋体" w:cs="宋体"/>
          <w:color w:val="000000"/>
          <w:szCs w:val="21"/>
          <w:highlight w:val="none"/>
        </w:rPr>
      </w:pPr>
    </w:p>
    <w:p>
      <w:pPr>
        <w:snapToGrid w:val="0"/>
        <w:spacing w:line="380" w:lineRule="exact"/>
        <w:ind w:firstLine="420" w:firstLineChars="200"/>
        <w:rPr>
          <w:rFonts w:ascii="宋体" w:hAnsi="宋体" w:eastAsia="宋体" w:cs="宋体"/>
          <w:color w:val="000000"/>
          <w:szCs w:val="21"/>
          <w:highlight w:val="none"/>
        </w:rPr>
      </w:pPr>
    </w:p>
    <w:p>
      <w:pPr>
        <w:snapToGrid w:val="0"/>
        <w:spacing w:line="380" w:lineRule="exact"/>
        <w:ind w:firstLine="420" w:firstLineChars="200"/>
        <w:rPr>
          <w:rFonts w:hint="eastAsia" w:ascii="宋体" w:hAnsi="宋体" w:eastAsia="宋体"/>
          <w:szCs w:val="21"/>
          <w:highlight w:val="none"/>
        </w:rPr>
      </w:pPr>
    </w:p>
    <w:p>
      <w:pPr>
        <w:snapToGrid w:val="0"/>
        <w:spacing w:line="380" w:lineRule="exact"/>
        <w:ind w:firstLine="420" w:firstLineChars="200"/>
        <w:outlineLvl w:val="1"/>
        <w:rPr>
          <w:rFonts w:ascii="宋体" w:hAnsi="宋体" w:eastAsia="宋体"/>
          <w:szCs w:val="21"/>
          <w:highlight w:val="none"/>
        </w:rPr>
      </w:pPr>
      <w:r>
        <w:rPr>
          <w:rFonts w:hint="eastAsia" w:ascii="宋体" w:hAnsi="宋体" w:eastAsia="宋体"/>
          <w:szCs w:val="21"/>
          <w:highlight w:val="none"/>
        </w:rPr>
        <w:t>（二）实训条件</w:t>
      </w:r>
      <w:bookmarkEnd w:id="8"/>
    </w:p>
    <w:p>
      <w:pPr>
        <w:snapToGrid w:val="0"/>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 1.校内实训场地</w:t>
      </w:r>
    </w:p>
    <w:p>
      <w:pPr>
        <w:snapToGrid w:val="0"/>
        <w:spacing w:line="380" w:lineRule="exact"/>
        <w:jc w:val="center"/>
        <w:rPr>
          <w:rFonts w:ascii="宋体" w:hAnsi="宋体" w:eastAsia="宋体"/>
          <w:sz w:val="18"/>
          <w:szCs w:val="18"/>
          <w:highlight w:val="none"/>
        </w:rPr>
      </w:pPr>
      <w:r>
        <w:rPr>
          <w:rFonts w:hint="eastAsia" w:ascii="宋体" w:hAnsi="宋体" w:eastAsia="宋体"/>
          <w:b/>
          <w:sz w:val="18"/>
          <w:szCs w:val="18"/>
          <w:highlight w:val="none"/>
        </w:rPr>
        <w:t xml:space="preserve"> 校内实训场地建设要求一览表</w:t>
      </w:r>
    </w:p>
    <w:tbl>
      <w:tblPr>
        <w:tblStyle w:val="13"/>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12"/>
        <w:gridCol w:w="2834"/>
        <w:gridCol w:w="4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12" w:type="dxa"/>
            <w:shd w:val="clear" w:color="auto" w:fill="auto"/>
            <w:vAlign w:val="center"/>
          </w:tcPr>
          <w:p>
            <w:pPr>
              <w:snapToGrid w:val="0"/>
              <w:spacing w:line="38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实训场地名称</w:t>
            </w:r>
          </w:p>
        </w:tc>
        <w:tc>
          <w:tcPr>
            <w:tcW w:w="2834" w:type="dxa"/>
            <w:shd w:val="clear" w:color="auto" w:fill="auto"/>
            <w:vAlign w:val="center"/>
          </w:tcPr>
          <w:p>
            <w:pPr>
              <w:snapToGrid w:val="0"/>
              <w:spacing w:line="38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主要设备配置</w:t>
            </w:r>
          </w:p>
        </w:tc>
        <w:tc>
          <w:tcPr>
            <w:tcW w:w="4016" w:type="dxa"/>
            <w:shd w:val="clear" w:color="auto" w:fill="auto"/>
            <w:vAlign w:val="center"/>
          </w:tcPr>
          <w:p>
            <w:pPr>
              <w:snapToGrid w:val="0"/>
              <w:spacing w:line="38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主要功能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7" w:hRule="atLeast"/>
          <w:jc w:val="center"/>
        </w:trPr>
        <w:tc>
          <w:tcPr>
            <w:tcW w:w="2012" w:type="dxa"/>
            <w:shd w:val="clear" w:color="auto" w:fill="auto"/>
            <w:vAlign w:val="center"/>
          </w:tcPr>
          <w:p>
            <w:pPr>
              <w:snapToGrid w:val="0"/>
              <w:spacing w:line="380" w:lineRule="exact"/>
              <w:rPr>
                <w:rFonts w:ascii="宋体" w:hAnsi="宋体" w:eastAsia="宋体"/>
                <w:sz w:val="18"/>
                <w:szCs w:val="18"/>
                <w:highlight w:val="none"/>
              </w:rPr>
            </w:pPr>
            <w:r>
              <w:rPr>
                <w:rFonts w:hint="eastAsia" w:ascii="宋体" w:hAnsi="宋体" w:eastAsia="宋体"/>
                <w:sz w:val="18"/>
                <w:szCs w:val="18"/>
                <w:highlight w:val="none"/>
              </w:rPr>
              <w:t>网络设备实训室、无线网实训室（思泽楼512室）</w:t>
            </w:r>
          </w:p>
        </w:tc>
        <w:tc>
          <w:tcPr>
            <w:tcW w:w="2834" w:type="dxa"/>
            <w:shd w:val="clear" w:color="auto" w:fill="auto"/>
          </w:tcPr>
          <w:p>
            <w:pPr>
              <w:snapToGrid w:val="0"/>
              <w:spacing w:line="38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清华紫光商用P4（60套）</w:t>
            </w:r>
          </w:p>
          <w:p>
            <w:pPr>
              <w:snapToGrid w:val="0"/>
              <w:spacing w:line="38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浪潮英信服务器P42.8G（1套）</w:t>
            </w:r>
          </w:p>
          <w:p>
            <w:pPr>
              <w:snapToGrid w:val="0"/>
              <w:spacing w:line="38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神码路由器（18台）</w:t>
            </w:r>
          </w:p>
          <w:p>
            <w:pPr>
              <w:snapToGrid w:val="0"/>
              <w:spacing w:line="38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神码交换机（12台）</w:t>
            </w:r>
          </w:p>
          <w:p>
            <w:pPr>
              <w:snapToGrid w:val="0"/>
              <w:spacing w:line="38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投影仪（1台）</w:t>
            </w:r>
          </w:p>
          <w:p>
            <w:pPr>
              <w:snapToGrid w:val="0"/>
              <w:spacing w:line="38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AP（无线接入点）（1台）</w:t>
            </w:r>
          </w:p>
          <w:p>
            <w:pPr>
              <w:snapToGrid w:val="0"/>
              <w:spacing w:line="38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无线网卡（60块）</w:t>
            </w:r>
          </w:p>
          <w:p>
            <w:pPr>
              <w:snapToGrid w:val="0"/>
              <w:spacing w:line="38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锐捷无线网实训平台设备二组</w:t>
            </w:r>
          </w:p>
        </w:tc>
        <w:tc>
          <w:tcPr>
            <w:tcW w:w="4016" w:type="dxa"/>
            <w:shd w:val="clear" w:color="auto" w:fill="auto"/>
            <w:vAlign w:val="center"/>
          </w:tcPr>
          <w:p>
            <w:pPr>
              <w:snapToGrid w:val="0"/>
              <w:spacing w:line="380" w:lineRule="exact"/>
              <w:rPr>
                <w:rFonts w:hint="eastAsia" w:ascii="宋体" w:hAnsi="宋体" w:eastAsia="宋体"/>
                <w:sz w:val="18"/>
                <w:szCs w:val="18"/>
                <w:highlight w:val="none"/>
                <w:lang w:eastAsia="zh-CN"/>
              </w:rPr>
            </w:pPr>
            <w:r>
              <w:rPr>
                <w:rFonts w:hint="eastAsia" w:ascii="宋体" w:hAnsi="宋体" w:eastAsia="宋体"/>
                <w:sz w:val="18"/>
                <w:szCs w:val="18"/>
                <w:highlight w:val="none"/>
              </w:rPr>
              <w:t>网络设备的安装与调试、组网、管网、用网等系统集成方面的实训，建设满足工信部网络工程师认证</w:t>
            </w:r>
            <w:r>
              <w:rPr>
                <w:rFonts w:hint="eastAsia" w:ascii="宋体" w:hAnsi="宋体" w:eastAsia="宋体"/>
                <w:sz w:val="18"/>
                <w:szCs w:val="18"/>
                <w:highlight w:val="none"/>
                <w:lang w:val="en-US" w:eastAsia="zh-CN"/>
              </w:rPr>
              <w:t>需要</w:t>
            </w:r>
            <w:r>
              <w:rPr>
                <w:rFonts w:hint="eastAsia" w:ascii="宋体" w:hAnsi="宋体" w:eastAsia="宋体"/>
                <w:sz w:val="18"/>
                <w:szCs w:val="18"/>
                <w:highlight w:val="none"/>
              </w:rPr>
              <w:t>。完成无线设备安装、调试、配置与测试等无线网络实训</w:t>
            </w:r>
            <w:r>
              <w:rPr>
                <w:rFonts w:hint="eastAsia" w:ascii="宋体" w:hAnsi="宋体" w:eastAsia="宋体"/>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6" w:hRule="atLeast"/>
          <w:jc w:val="center"/>
        </w:trPr>
        <w:tc>
          <w:tcPr>
            <w:tcW w:w="2012" w:type="dxa"/>
            <w:shd w:val="clear" w:color="auto" w:fill="auto"/>
            <w:vAlign w:val="center"/>
          </w:tcPr>
          <w:p>
            <w:pPr>
              <w:snapToGrid w:val="0"/>
              <w:spacing w:line="380" w:lineRule="exact"/>
              <w:rPr>
                <w:rFonts w:ascii="宋体" w:hAnsi="宋体" w:eastAsia="宋体"/>
                <w:sz w:val="18"/>
                <w:szCs w:val="18"/>
                <w:highlight w:val="none"/>
              </w:rPr>
            </w:pPr>
            <w:r>
              <w:rPr>
                <w:rFonts w:hint="eastAsia" w:ascii="宋体" w:hAnsi="宋体" w:eastAsia="宋体"/>
                <w:sz w:val="18"/>
                <w:szCs w:val="18"/>
                <w:highlight w:val="none"/>
              </w:rPr>
              <w:t>网络综合布线实训室（思泽楼411室）</w:t>
            </w:r>
          </w:p>
        </w:tc>
        <w:tc>
          <w:tcPr>
            <w:tcW w:w="2834" w:type="dxa"/>
            <w:shd w:val="clear" w:color="auto" w:fill="auto"/>
            <w:vAlign w:val="center"/>
          </w:tcPr>
          <w:p>
            <w:pPr>
              <w:snapToGrid w:val="0"/>
              <w:spacing w:line="380" w:lineRule="exact"/>
              <w:rPr>
                <w:rFonts w:ascii="宋体" w:hAnsi="宋体" w:eastAsia="宋体"/>
                <w:sz w:val="18"/>
                <w:szCs w:val="18"/>
                <w:highlight w:val="none"/>
              </w:rPr>
            </w:pPr>
            <w:r>
              <w:rPr>
                <w:rFonts w:hint="eastAsia" w:ascii="宋体" w:hAnsi="宋体" w:eastAsia="宋体"/>
                <w:sz w:val="18"/>
                <w:szCs w:val="18"/>
                <w:highlight w:val="none"/>
              </w:rPr>
              <w:t>西安开元网络综合实训平台5套</w:t>
            </w:r>
          </w:p>
          <w:p>
            <w:pPr>
              <w:snapToGrid w:val="0"/>
              <w:spacing w:line="380" w:lineRule="exact"/>
              <w:ind w:firstLine="180" w:firstLineChars="100"/>
              <w:rPr>
                <w:rFonts w:ascii="宋体" w:hAnsi="宋体" w:eastAsia="宋体"/>
                <w:sz w:val="18"/>
                <w:szCs w:val="18"/>
                <w:highlight w:val="none"/>
              </w:rPr>
            </w:pPr>
            <w:r>
              <w:rPr>
                <w:rFonts w:hint="eastAsia" w:ascii="宋体" w:hAnsi="宋体" w:eastAsia="宋体"/>
                <w:sz w:val="18"/>
                <w:szCs w:val="18"/>
                <w:highlight w:val="none"/>
              </w:rPr>
              <w:t>网络布线组合工具6套</w:t>
            </w:r>
          </w:p>
          <w:p>
            <w:pPr>
              <w:snapToGrid w:val="0"/>
              <w:spacing w:line="380" w:lineRule="exact"/>
              <w:rPr>
                <w:rFonts w:ascii="宋体" w:hAnsi="宋体" w:eastAsia="宋体"/>
                <w:sz w:val="18"/>
                <w:szCs w:val="18"/>
                <w:highlight w:val="none"/>
              </w:rPr>
            </w:pPr>
            <w:r>
              <w:rPr>
                <w:rFonts w:hint="eastAsia" w:ascii="宋体" w:hAnsi="宋体" w:eastAsia="宋体"/>
                <w:sz w:val="18"/>
                <w:szCs w:val="18"/>
                <w:highlight w:val="none"/>
              </w:rPr>
              <w:t>语音模块、数据模块、端接模块、各种线缆等。</w:t>
            </w:r>
          </w:p>
        </w:tc>
        <w:tc>
          <w:tcPr>
            <w:tcW w:w="4016" w:type="dxa"/>
            <w:shd w:val="clear" w:color="auto" w:fill="auto"/>
            <w:vAlign w:val="center"/>
          </w:tcPr>
          <w:p>
            <w:pPr>
              <w:snapToGrid w:val="0"/>
              <w:spacing w:line="380" w:lineRule="exact"/>
              <w:rPr>
                <w:rFonts w:ascii="宋体" w:hAnsi="宋体" w:eastAsia="宋体"/>
                <w:sz w:val="18"/>
                <w:szCs w:val="18"/>
                <w:highlight w:val="none"/>
              </w:rPr>
            </w:pPr>
            <w:r>
              <w:rPr>
                <w:rFonts w:hint="eastAsia" w:ascii="宋体" w:hAnsi="宋体" w:eastAsia="宋体"/>
                <w:sz w:val="18"/>
                <w:szCs w:val="18"/>
                <w:highlight w:val="none"/>
              </w:rPr>
              <w:t>语音、数据、视频综合布线系统实训环境，具备综合布线基本技能训练和网络工程项目实训、网络工程师和综合布线工程师认证培训的功能。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9" w:hRule="atLeast"/>
          <w:jc w:val="center"/>
        </w:trPr>
        <w:tc>
          <w:tcPr>
            <w:tcW w:w="2012" w:type="dxa"/>
            <w:shd w:val="clear" w:color="auto" w:fill="auto"/>
            <w:vAlign w:val="center"/>
          </w:tcPr>
          <w:p>
            <w:pPr>
              <w:snapToGrid w:val="0"/>
              <w:spacing w:line="380" w:lineRule="exact"/>
              <w:rPr>
                <w:rFonts w:ascii="宋体" w:hAnsi="宋体" w:eastAsia="宋体"/>
                <w:sz w:val="18"/>
                <w:szCs w:val="18"/>
                <w:highlight w:val="none"/>
              </w:rPr>
            </w:pPr>
            <w:r>
              <w:rPr>
                <w:rFonts w:hint="eastAsia" w:ascii="宋体" w:hAnsi="宋体" w:eastAsia="宋体"/>
                <w:sz w:val="18"/>
                <w:szCs w:val="18"/>
                <w:highlight w:val="none"/>
              </w:rPr>
              <w:t>网络工程实训室（思泽楼504室）</w:t>
            </w:r>
          </w:p>
        </w:tc>
        <w:tc>
          <w:tcPr>
            <w:tcW w:w="2834" w:type="dxa"/>
            <w:shd w:val="clear" w:color="auto" w:fill="auto"/>
          </w:tcPr>
          <w:p>
            <w:pPr>
              <w:snapToGrid w:val="0"/>
              <w:spacing w:line="380" w:lineRule="exact"/>
              <w:rPr>
                <w:rFonts w:ascii="宋体" w:hAnsi="宋体" w:eastAsia="宋体"/>
                <w:sz w:val="18"/>
                <w:szCs w:val="18"/>
                <w:highlight w:val="none"/>
              </w:rPr>
            </w:pPr>
            <w:r>
              <w:rPr>
                <w:rFonts w:hint="eastAsia" w:ascii="宋体" w:hAnsi="宋体" w:eastAsia="宋体"/>
                <w:sz w:val="18"/>
                <w:szCs w:val="18"/>
                <w:highlight w:val="none"/>
              </w:rPr>
              <w:t>信息安全实训平台设备一套</w:t>
            </w:r>
          </w:p>
        </w:tc>
        <w:tc>
          <w:tcPr>
            <w:tcW w:w="4016" w:type="dxa"/>
            <w:shd w:val="clear" w:color="auto" w:fill="auto"/>
            <w:vAlign w:val="center"/>
          </w:tcPr>
          <w:p>
            <w:pPr>
              <w:snapToGrid w:val="0"/>
              <w:spacing w:line="380" w:lineRule="exact"/>
              <w:rPr>
                <w:rFonts w:ascii="宋体" w:hAnsi="宋体" w:eastAsia="宋体"/>
                <w:sz w:val="18"/>
                <w:szCs w:val="18"/>
                <w:highlight w:val="none"/>
              </w:rPr>
            </w:pPr>
            <w:r>
              <w:rPr>
                <w:rFonts w:hint="eastAsia" w:ascii="宋体" w:hAnsi="宋体" w:eastAsia="宋体"/>
                <w:sz w:val="18"/>
                <w:szCs w:val="18"/>
                <w:highlight w:val="none"/>
              </w:rPr>
              <w:t>完信息安全实训功能、同时具备江西省网络系统大赛省赛培训功能。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2012" w:type="dxa"/>
            <w:shd w:val="clear" w:color="auto" w:fill="auto"/>
            <w:vAlign w:val="center"/>
          </w:tcPr>
          <w:p>
            <w:pPr>
              <w:snapToGrid w:val="0"/>
              <w:spacing w:line="380" w:lineRule="exact"/>
              <w:rPr>
                <w:rFonts w:ascii="宋体" w:hAnsi="宋体" w:eastAsia="宋体"/>
                <w:sz w:val="18"/>
                <w:szCs w:val="18"/>
                <w:highlight w:val="none"/>
              </w:rPr>
            </w:pPr>
            <w:r>
              <w:rPr>
                <w:rFonts w:hint="eastAsia" w:ascii="宋体" w:hAnsi="宋体" w:eastAsia="宋体"/>
                <w:sz w:val="18"/>
                <w:szCs w:val="18"/>
                <w:highlight w:val="none"/>
              </w:rPr>
              <w:t>物联网实训基地（思泽楼212室）</w:t>
            </w:r>
          </w:p>
        </w:tc>
        <w:tc>
          <w:tcPr>
            <w:tcW w:w="2834" w:type="dxa"/>
            <w:shd w:val="clear" w:color="auto" w:fill="auto"/>
            <w:vAlign w:val="center"/>
          </w:tcPr>
          <w:p>
            <w:pPr>
              <w:snapToGrid w:val="0"/>
              <w:spacing w:line="380" w:lineRule="exact"/>
              <w:rPr>
                <w:rFonts w:ascii="宋体" w:hAnsi="宋体" w:eastAsia="宋体"/>
                <w:sz w:val="18"/>
                <w:szCs w:val="18"/>
                <w:highlight w:val="none"/>
              </w:rPr>
            </w:pPr>
            <w:r>
              <w:rPr>
                <w:rFonts w:hint="eastAsia" w:ascii="宋体" w:hAnsi="宋体" w:eastAsia="宋体"/>
                <w:sz w:val="18"/>
                <w:szCs w:val="18"/>
                <w:highlight w:val="none"/>
              </w:rPr>
              <w:t>智能家居平台12套，多媒体教学平台</w:t>
            </w:r>
          </w:p>
        </w:tc>
        <w:tc>
          <w:tcPr>
            <w:tcW w:w="4016" w:type="dxa"/>
            <w:shd w:val="clear" w:color="auto" w:fill="auto"/>
            <w:vAlign w:val="center"/>
          </w:tcPr>
          <w:p>
            <w:pPr>
              <w:snapToGrid w:val="0"/>
              <w:spacing w:line="380" w:lineRule="exact"/>
              <w:rPr>
                <w:rFonts w:ascii="宋体" w:hAnsi="宋体" w:eastAsia="宋体"/>
                <w:sz w:val="18"/>
                <w:szCs w:val="18"/>
                <w:highlight w:val="none"/>
              </w:rPr>
            </w:pPr>
            <w:r>
              <w:rPr>
                <w:rFonts w:hint="eastAsia" w:ascii="宋体" w:hAnsi="宋体" w:eastAsia="宋体"/>
                <w:sz w:val="18"/>
                <w:szCs w:val="18"/>
                <w:highlight w:val="none"/>
              </w:rPr>
              <w:t>传感器应用，物联网应用开发，智能家居安装与维护，射频传感的应用，智能门禁系统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2012" w:type="dxa"/>
            <w:shd w:val="clear" w:color="auto" w:fill="auto"/>
            <w:vAlign w:val="center"/>
          </w:tcPr>
          <w:p>
            <w:pPr>
              <w:snapToGrid w:val="0"/>
              <w:spacing w:line="380" w:lineRule="exact"/>
              <w:rPr>
                <w:rFonts w:ascii="宋体" w:hAnsi="宋体" w:eastAsia="宋体"/>
                <w:sz w:val="18"/>
                <w:szCs w:val="18"/>
                <w:highlight w:val="none"/>
              </w:rPr>
            </w:pPr>
            <w:r>
              <w:rPr>
                <w:rFonts w:hint="eastAsia" w:ascii="宋体" w:hAnsi="宋体" w:eastAsia="宋体"/>
                <w:sz w:val="18"/>
                <w:szCs w:val="18"/>
                <w:highlight w:val="none"/>
              </w:rPr>
              <w:t>网络安全实训室（思泽楼504）</w:t>
            </w:r>
          </w:p>
        </w:tc>
        <w:tc>
          <w:tcPr>
            <w:tcW w:w="2834" w:type="dxa"/>
            <w:shd w:val="clear" w:color="auto" w:fill="auto"/>
            <w:vAlign w:val="center"/>
          </w:tcPr>
          <w:p>
            <w:pPr>
              <w:snapToGrid w:val="0"/>
              <w:spacing w:line="380" w:lineRule="exact"/>
              <w:rPr>
                <w:rFonts w:ascii="宋体" w:hAnsi="宋体" w:eastAsia="宋体"/>
                <w:sz w:val="18"/>
                <w:szCs w:val="18"/>
                <w:highlight w:val="none"/>
              </w:rPr>
            </w:pPr>
            <w:r>
              <w:rPr>
                <w:rFonts w:hint="eastAsia" w:ascii="宋体" w:hAnsi="宋体" w:eastAsia="宋体"/>
                <w:sz w:val="18"/>
                <w:szCs w:val="18"/>
                <w:highlight w:val="none"/>
              </w:rPr>
              <w:t>浪潮英信服务器P42.8G（1套）</w:t>
            </w:r>
          </w:p>
          <w:p>
            <w:pPr>
              <w:snapToGrid w:val="0"/>
              <w:spacing w:line="380" w:lineRule="exact"/>
              <w:rPr>
                <w:rFonts w:ascii="宋体" w:hAnsi="宋体" w:eastAsia="宋体"/>
                <w:sz w:val="18"/>
                <w:szCs w:val="18"/>
                <w:highlight w:val="none"/>
              </w:rPr>
            </w:pPr>
            <w:r>
              <w:rPr>
                <w:rFonts w:hint="eastAsia" w:ascii="宋体" w:hAnsi="宋体" w:eastAsia="宋体"/>
                <w:sz w:val="18"/>
                <w:szCs w:val="18"/>
                <w:highlight w:val="none"/>
              </w:rPr>
              <w:t>神码交换机（10台）</w:t>
            </w:r>
          </w:p>
          <w:p>
            <w:pPr>
              <w:snapToGrid w:val="0"/>
              <w:spacing w:line="380" w:lineRule="exact"/>
              <w:rPr>
                <w:rFonts w:ascii="宋体" w:hAnsi="宋体" w:eastAsia="宋体"/>
                <w:sz w:val="18"/>
                <w:szCs w:val="18"/>
                <w:highlight w:val="none"/>
              </w:rPr>
            </w:pPr>
            <w:r>
              <w:rPr>
                <w:rFonts w:hint="eastAsia" w:ascii="宋体" w:hAnsi="宋体" w:eastAsia="宋体"/>
                <w:sz w:val="18"/>
                <w:szCs w:val="18"/>
                <w:highlight w:val="none"/>
              </w:rPr>
              <w:t>网络安全教学仿真实训云平台（1套）</w:t>
            </w:r>
          </w:p>
        </w:tc>
        <w:tc>
          <w:tcPr>
            <w:tcW w:w="4016" w:type="dxa"/>
            <w:shd w:val="clear" w:color="auto" w:fill="auto"/>
            <w:vAlign w:val="center"/>
          </w:tcPr>
          <w:p>
            <w:pPr>
              <w:snapToGrid w:val="0"/>
              <w:spacing w:line="380" w:lineRule="exact"/>
              <w:rPr>
                <w:rFonts w:ascii="宋体" w:hAnsi="宋体" w:eastAsia="宋体"/>
                <w:sz w:val="18"/>
                <w:szCs w:val="18"/>
                <w:highlight w:val="none"/>
              </w:rPr>
            </w:pPr>
            <w:r>
              <w:rPr>
                <w:rFonts w:hint="eastAsia" w:ascii="宋体" w:hAnsi="宋体" w:eastAsia="宋体"/>
                <w:sz w:val="18"/>
                <w:szCs w:val="18"/>
                <w:highlight w:val="none"/>
              </w:rPr>
              <w:t>信息安全与管理课程的辅助教学；</w:t>
            </w:r>
          </w:p>
          <w:p>
            <w:pPr>
              <w:snapToGrid w:val="0"/>
              <w:spacing w:line="380" w:lineRule="exact"/>
              <w:rPr>
                <w:rFonts w:ascii="宋体" w:hAnsi="宋体" w:eastAsia="宋体"/>
                <w:sz w:val="18"/>
                <w:szCs w:val="18"/>
                <w:highlight w:val="none"/>
              </w:rPr>
            </w:pPr>
            <w:r>
              <w:rPr>
                <w:rFonts w:hint="eastAsia" w:ascii="宋体" w:hAnsi="宋体" w:eastAsia="宋体"/>
                <w:sz w:val="18"/>
                <w:szCs w:val="18"/>
                <w:highlight w:val="none"/>
              </w:rPr>
              <w:t>仿真实训云平台的靶场练习</w:t>
            </w:r>
          </w:p>
        </w:tc>
      </w:tr>
    </w:tbl>
    <w:p>
      <w:pPr>
        <w:snapToGrid w:val="0"/>
        <w:spacing w:line="380" w:lineRule="exact"/>
        <w:rPr>
          <w:rFonts w:ascii="宋体" w:hAnsi="宋体" w:eastAsia="宋体"/>
          <w:szCs w:val="21"/>
          <w:highlight w:val="none"/>
        </w:rPr>
      </w:pPr>
    </w:p>
    <w:p>
      <w:pPr>
        <w:snapToGrid w:val="0"/>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 2.校外实习场地</w:t>
      </w:r>
    </w:p>
    <w:p>
      <w:pPr>
        <w:snapToGrid w:val="0"/>
        <w:spacing w:line="38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校外实习基地的建立，是信息安全与管理专业改变人才培养方式的重要方向，是保证实践教学质量的重要保证；学生通过校外实习，既熟悉对应岗位的职业技能，又提高动手实践能力，增加学生的就业机会。</w:t>
      </w:r>
    </w:p>
    <w:p>
      <w:pPr>
        <w:snapToGrid w:val="0"/>
        <w:spacing w:line="38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校外实习单位需要符合以下条件：</w:t>
      </w:r>
    </w:p>
    <w:p>
      <w:pPr>
        <w:numPr>
          <w:ilvl w:val="0"/>
          <w:numId w:val="9"/>
        </w:numPr>
        <w:snapToGrid w:val="0"/>
        <w:spacing w:line="38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专业对口：企业主要从事物联网工程施工与管理、服务器架构、系统维护、网站管理维护、技术服务与支持。（以上方向至少满足一项）</w:t>
      </w:r>
    </w:p>
    <w:p>
      <w:pPr>
        <w:numPr>
          <w:ilvl w:val="0"/>
          <w:numId w:val="9"/>
        </w:numPr>
        <w:snapToGrid w:val="0"/>
        <w:spacing w:line="38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岗位性质：企业能满足学生第五学期的顶岗实习及部分学生就业等需求。</w:t>
      </w:r>
    </w:p>
    <w:p>
      <w:pPr>
        <w:snapToGrid w:val="0"/>
        <w:spacing w:line="38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通过市场调研，企业走访，本专业精选一批实践机会多，就业对口的企业，部分名单如下：</w:t>
      </w:r>
    </w:p>
    <w:p>
      <w:pPr>
        <w:numPr>
          <w:ilvl w:val="0"/>
          <w:numId w:val="10"/>
        </w:numPr>
        <w:snapToGrid w:val="0"/>
        <w:spacing w:line="38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东软集团股份有限公司</w:t>
      </w:r>
    </w:p>
    <w:p>
      <w:pPr>
        <w:numPr>
          <w:ilvl w:val="0"/>
          <w:numId w:val="10"/>
        </w:numPr>
        <w:snapToGrid w:val="0"/>
        <w:spacing w:line="38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神州数码网络有限公司</w:t>
      </w:r>
    </w:p>
    <w:p>
      <w:pPr>
        <w:numPr>
          <w:ilvl w:val="0"/>
          <w:numId w:val="10"/>
        </w:numPr>
        <w:snapToGrid w:val="0"/>
        <w:spacing w:line="38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深证讯方科技有限公司</w:t>
      </w:r>
    </w:p>
    <w:p>
      <w:pPr>
        <w:numPr>
          <w:ilvl w:val="0"/>
          <w:numId w:val="10"/>
        </w:numPr>
        <w:snapToGrid w:val="0"/>
        <w:spacing w:line="38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广州粤嵌通信科技股份有限公司</w:t>
      </w:r>
    </w:p>
    <w:p>
      <w:pPr>
        <w:numPr>
          <w:ilvl w:val="0"/>
          <w:numId w:val="10"/>
        </w:numPr>
        <w:snapToGrid w:val="0"/>
        <w:spacing w:line="380" w:lineRule="exact"/>
        <w:ind w:firstLine="420"/>
        <w:rPr>
          <w:rFonts w:ascii="宋体" w:hAnsi="宋体" w:eastAsia="宋体" w:cs="宋体"/>
          <w:color w:val="000000"/>
          <w:szCs w:val="21"/>
          <w:highlight w:val="none"/>
        </w:rPr>
      </w:pPr>
      <w:r>
        <w:rPr>
          <w:rFonts w:hint="eastAsia" w:ascii="宋体" w:hAnsi="宋体" w:eastAsia="宋体" w:cs="宋体"/>
          <w:color w:val="000000"/>
          <w:szCs w:val="21"/>
          <w:highlight w:val="none"/>
        </w:rPr>
        <w:t>上海豌豆科技有限公司</w:t>
      </w:r>
    </w:p>
    <w:p>
      <w:pPr>
        <w:numPr>
          <w:ilvl w:val="0"/>
          <w:numId w:val="10"/>
        </w:numPr>
        <w:snapToGrid w:val="0"/>
        <w:spacing w:line="380" w:lineRule="exact"/>
        <w:ind w:firstLine="420"/>
        <w:rPr>
          <w:rFonts w:ascii="宋体" w:hAnsi="宋体" w:eastAsia="宋体" w:cs="宋体"/>
          <w:color w:val="000000"/>
          <w:szCs w:val="21"/>
          <w:highlight w:val="none"/>
        </w:rPr>
      </w:pPr>
      <w:r>
        <w:rPr>
          <w:rFonts w:hint="eastAsia" w:ascii="宋体" w:hAnsi="宋体" w:eastAsia="宋体" w:cs="宋体"/>
          <w:color w:val="000000"/>
          <w:szCs w:val="21"/>
          <w:highlight w:val="none"/>
        </w:rPr>
        <w:t>绿盟信息安全科技股份有限公司</w:t>
      </w:r>
    </w:p>
    <w:p>
      <w:pPr>
        <w:numPr>
          <w:ilvl w:val="0"/>
          <w:numId w:val="10"/>
        </w:numPr>
        <w:snapToGrid w:val="0"/>
        <w:spacing w:line="38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鹏博士电信传媒集团</w:t>
      </w:r>
    </w:p>
    <w:p>
      <w:pPr>
        <w:snapToGrid w:val="0"/>
        <w:spacing w:line="380" w:lineRule="exact"/>
        <w:ind w:firstLine="420" w:firstLineChars="200"/>
        <w:rPr>
          <w:rFonts w:ascii="宋体" w:hAnsi="宋体" w:eastAsia="宋体"/>
          <w:szCs w:val="21"/>
          <w:highlight w:val="none"/>
        </w:rPr>
      </w:pP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8"/>
        <w:gridCol w:w="1821"/>
        <w:gridCol w:w="2731"/>
        <w:gridCol w:w="786"/>
        <w:gridCol w:w="96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548" w:type="dxa"/>
            <w:vAlign w:val="center"/>
          </w:tcPr>
          <w:p>
            <w:pPr>
              <w:snapToGrid w:val="0"/>
              <w:spacing w:line="380" w:lineRule="exact"/>
              <w:jc w:val="center"/>
              <w:rPr>
                <w:rFonts w:ascii="宋体" w:hAnsi="宋体" w:eastAsia="宋体"/>
                <w:sz w:val="18"/>
                <w:szCs w:val="18"/>
                <w:highlight w:val="none"/>
              </w:rPr>
            </w:pPr>
            <w:r>
              <w:rPr>
                <w:rFonts w:hint="eastAsia" w:ascii="宋体" w:hAnsi="宋体" w:eastAsia="宋体"/>
                <w:sz w:val="18"/>
                <w:szCs w:val="18"/>
                <w:highlight w:val="none"/>
              </w:rPr>
              <w:t>合作企业名称</w:t>
            </w:r>
          </w:p>
        </w:tc>
        <w:tc>
          <w:tcPr>
            <w:tcW w:w="1821" w:type="dxa"/>
            <w:vAlign w:val="center"/>
          </w:tcPr>
          <w:p>
            <w:pPr>
              <w:snapToGrid w:val="0"/>
              <w:spacing w:line="38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实习场所名称</w:t>
            </w:r>
          </w:p>
        </w:tc>
        <w:tc>
          <w:tcPr>
            <w:tcW w:w="2731" w:type="dxa"/>
            <w:vAlign w:val="center"/>
          </w:tcPr>
          <w:p>
            <w:pPr>
              <w:snapToGrid w:val="0"/>
              <w:spacing w:line="380" w:lineRule="exact"/>
              <w:ind w:firstLine="360" w:firstLineChars="200"/>
              <w:jc w:val="center"/>
              <w:rPr>
                <w:rFonts w:ascii="宋体" w:hAnsi="宋体" w:eastAsia="宋体"/>
                <w:sz w:val="18"/>
                <w:szCs w:val="18"/>
                <w:highlight w:val="none"/>
              </w:rPr>
            </w:pPr>
            <w:r>
              <w:rPr>
                <w:rFonts w:hint="eastAsia" w:ascii="宋体" w:hAnsi="宋体" w:eastAsia="宋体"/>
                <w:sz w:val="18"/>
                <w:szCs w:val="18"/>
                <w:highlight w:val="none"/>
              </w:rPr>
              <w:t>主要设备名称</w:t>
            </w:r>
          </w:p>
        </w:tc>
        <w:tc>
          <w:tcPr>
            <w:tcW w:w="786" w:type="dxa"/>
            <w:vAlign w:val="center"/>
          </w:tcPr>
          <w:p>
            <w:pPr>
              <w:snapToGrid w:val="0"/>
              <w:spacing w:line="380" w:lineRule="exact"/>
              <w:jc w:val="center"/>
              <w:rPr>
                <w:rFonts w:ascii="宋体" w:hAnsi="宋体" w:eastAsia="宋体"/>
                <w:sz w:val="18"/>
                <w:szCs w:val="18"/>
                <w:highlight w:val="none"/>
              </w:rPr>
            </w:pPr>
            <w:r>
              <w:rPr>
                <w:rFonts w:hint="eastAsia" w:ascii="宋体" w:hAnsi="宋体" w:eastAsia="宋体"/>
                <w:sz w:val="18"/>
                <w:szCs w:val="18"/>
                <w:highlight w:val="none"/>
              </w:rPr>
              <w:t>数量</w:t>
            </w:r>
          </w:p>
        </w:tc>
        <w:tc>
          <w:tcPr>
            <w:tcW w:w="969" w:type="dxa"/>
            <w:vAlign w:val="center"/>
          </w:tcPr>
          <w:p>
            <w:pPr>
              <w:snapToGrid w:val="0"/>
              <w:spacing w:line="380" w:lineRule="exact"/>
              <w:jc w:val="center"/>
              <w:rPr>
                <w:rFonts w:ascii="宋体" w:hAnsi="宋体" w:eastAsia="宋体"/>
                <w:sz w:val="18"/>
                <w:szCs w:val="18"/>
                <w:highlight w:val="none"/>
              </w:rPr>
            </w:pPr>
            <w:r>
              <w:rPr>
                <w:rFonts w:hint="eastAsia" w:ascii="宋体" w:hAnsi="宋体" w:eastAsia="宋体"/>
                <w:sz w:val="18"/>
                <w:szCs w:val="18"/>
                <w:highlight w:val="none"/>
              </w:rPr>
              <w:t>工位数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548" w:type="dxa"/>
            <w:vMerge w:val="restart"/>
            <w:vAlign w:val="center"/>
          </w:tcPr>
          <w:p>
            <w:pPr>
              <w:snapToGrid w:val="0"/>
              <w:spacing w:line="380" w:lineRule="exact"/>
              <w:jc w:val="center"/>
              <w:rPr>
                <w:rFonts w:ascii="宋体" w:hAnsi="宋体" w:eastAsia="宋体"/>
                <w:sz w:val="18"/>
                <w:szCs w:val="18"/>
                <w:highlight w:val="none"/>
              </w:rPr>
            </w:pPr>
            <w:r>
              <w:rPr>
                <w:rFonts w:hint="eastAsia" w:ascii="宋体" w:hAnsi="宋体" w:eastAsia="宋体"/>
                <w:sz w:val="18"/>
                <w:szCs w:val="18"/>
                <w:highlight w:val="none"/>
              </w:rPr>
              <w:t>江西国鼎科技有限公司</w:t>
            </w:r>
          </w:p>
        </w:tc>
        <w:tc>
          <w:tcPr>
            <w:tcW w:w="1821" w:type="dxa"/>
            <w:vAlign w:val="center"/>
          </w:tcPr>
          <w:p>
            <w:pPr>
              <w:snapToGrid w:val="0"/>
              <w:spacing w:line="380" w:lineRule="exact"/>
              <w:jc w:val="center"/>
              <w:rPr>
                <w:rFonts w:ascii="宋体" w:hAnsi="宋体" w:eastAsia="宋体"/>
                <w:sz w:val="18"/>
                <w:szCs w:val="18"/>
                <w:highlight w:val="none"/>
              </w:rPr>
            </w:pPr>
            <w:r>
              <w:rPr>
                <w:rFonts w:hint="eastAsia" w:ascii="宋体" w:hAnsi="宋体" w:eastAsia="宋体"/>
                <w:sz w:val="18"/>
                <w:szCs w:val="18"/>
                <w:highlight w:val="none"/>
              </w:rPr>
              <w:t>信息系统集成与产品研发中心</w:t>
            </w:r>
          </w:p>
        </w:tc>
        <w:tc>
          <w:tcPr>
            <w:tcW w:w="2731" w:type="dxa"/>
            <w:vAlign w:val="center"/>
          </w:tcPr>
          <w:p>
            <w:pPr>
              <w:snapToGrid w:val="0"/>
              <w:spacing w:line="380" w:lineRule="exact"/>
              <w:jc w:val="center"/>
              <w:rPr>
                <w:rFonts w:ascii="宋体" w:hAnsi="宋体" w:eastAsia="宋体"/>
                <w:sz w:val="18"/>
                <w:szCs w:val="18"/>
                <w:highlight w:val="none"/>
              </w:rPr>
            </w:pPr>
            <w:r>
              <w:rPr>
                <w:rFonts w:hint="eastAsia" w:ascii="宋体" w:hAnsi="宋体" w:eastAsia="宋体"/>
                <w:sz w:val="18"/>
                <w:szCs w:val="18"/>
                <w:highlight w:val="none"/>
              </w:rPr>
              <w:t>路由器/三层交换机/服务器/网络防火墙</w:t>
            </w:r>
          </w:p>
        </w:tc>
        <w:tc>
          <w:tcPr>
            <w:tcW w:w="786" w:type="dxa"/>
            <w:vAlign w:val="center"/>
          </w:tcPr>
          <w:p>
            <w:pPr>
              <w:snapToGrid w:val="0"/>
              <w:spacing w:line="380" w:lineRule="exact"/>
              <w:jc w:val="center"/>
              <w:rPr>
                <w:rFonts w:ascii="宋体" w:hAnsi="宋体" w:eastAsia="宋体"/>
                <w:sz w:val="18"/>
                <w:szCs w:val="18"/>
                <w:highlight w:val="none"/>
              </w:rPr>
            </w:pPr>
            <w:r>
              <w:rPr>
                <w:rFonts w:hint="eastAsia" w:ascii="宋体" w:hAnsi="宋体" w:eastAsia="宋体"/>
                <w:sz w:val="18"/>
                <w:szCs w:val="18"/>
                <w:highlight w:val="none"/>
              </w:rPr>
              <w:t>10套</w:t>
            </w:r>
          </w:p>
        </w:tc>
        <w:tc>
          <w:tcPr>
            <w:tcW w:w="969" w:type="dxa"/>
            <w:vAlign w:val="center"/>
          </w:tcPr>
          <w:p>
            <w:pPr>
              <w:snapToGrid w:val="0"/>
              <w:spacing w:line="380" w:lineRule="exact"/>
              <w:jc w:val="center"/>
              <w:rPr>
                <w:rFonts w:ascii="宋体" w:hAnsi="宋体" w:eastAsia="宋体"/>
                <w:sz w:val="18"/>
                <w:szCs w:val="18"/>
                <w:highlight w:val="none"/>
              </w:rPr>
            </w:pPr>
            <w:r>
              <w:rPr>
                <w:rFonts w:hint="eastAsia" w:ascii="宋体" w:hAnsi="宋体" w:eastAsia="宋体"/>
                <w:sz w:val="18"/>
                <w:szCs w:val="18"/>
                <w:highlight w:val="none"/>
              </w:rPr>
              <w:t>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60" w:hRule="atLeast"/>
          <w:jc w:val="center"/>
        </w:trPr>
        <w:tc>
          <w:tcPr>
            <w:tcW w:w="1548" w:type="dxa"/>
            <w:vMerge w:val="continue"/>
            <w:vAlign w:val="center"/>
          </w:tcPr>
          <w:p>
            <w:pPr>
              <w:snapToGrid w:val="0"/>
              <w:spacing w:line="380" w:lineRule="exact"/>
              <w:ind w:firstLine="360" w:firstLineChars="200"/>
              <w:jc w:val="center"/>
              <w:rPr>
                <w:rFonts w:ascii="宋体" w:hAnsi="宋体" w:eastAsia="宋体"/>
                <w:sz w:val="18"/>
                <w:szCs w:val="18"/>
                <w:highlight w:val="none"/>
              </w:rPr>
            </w:pPr>
          </w:p>
        </w:tc>
        <w:tc>
          <w:tcPr>
            <w:tcW w:w="1821" w:type="dxa"/>
            <w:vAlign w:val="center"/>
          </w:tcPr>
          <w:p>
            <w:pPr>
              <w:snapToGrid w:val="0"/>
              <w:spacing w:line="380" w:lineRule="exact"/>
              <w:jc w:val="center"/>
              <w:rPr>
                <w:rFonts w:ascii="宋体" w:hAnsi="宋体" w:eastAsia="宋体"/>
                <w:sz w:val="18"/>
                <w:szCs w:val="18"/>
                <w:highlight w:val="none"/>
              </w:rPr>
            </w:pPr>
            <w:r>
              <w:rPr>
                <w:rFonts w:hint="eastAsia" w:ascii="宋体" w:hAnsi="宋体" w:eastAsia="宋体"/>
                <w:sz w:val="18"/>
                <w:szCs w:val="18"/>
                <w:highlight w:val="none"/>
              </w:rPr>
              <w:t>网络工程综合实训服务中心</w:t>
            </w:r>
          </w:p>
        </w:tc>
        <w:tc>
          <w:tcPr>
            <w:tcW w:w="2731" w:type="dxa"/>
            <w:vAlign w:val="center"/>
          </w:tcPr>
          <w:p>
            <w:pPr>
              <w:snapToGrid w:val="0"/>
              <w:spacing w:line="380" w:lineRule="exact"/>
              <w:jc w:val="center"/>
              <w:rPr>
                <w:rFonts w:ascii="宋体" w:hAnsi="宋体" w:eastAsia="宋体"/>
                <w:sz w:val="18"/>
                <w:szCs w:val="18"/>
                <w:highlight w:val="none"/>
              </w:rPr>
            </w:pPr>
            <w:r>
              <w:rPr>
                <w:rFonts w:hint="eastAsia" w:ascii="宋体" w:hAnsi="宋体" w:eastAsia="宋体"/>
                <w:sz w:val="18"/>
                <w:szCs w:val="18"/>
                <w:highlight w:val="none"/>
              </w:rPr>
              <w:t>智能楼宇网络工程实训平台</w:t>
            </w:r>
          </w:p>
        </w:tc>
        <w:tc>
          <w:tcPr>
            <w:tcW w:w="786" w:type="dxa"/>
            <w:vAlign w:val="center"/>
          </w:tcPr>
          <w:p>
            <w:pPr>
              <w:snapToGrid w:val="0"/>
              <w:spacing w:line="380" w:lineRule="exact"/>
              <w:jc w:val="center"/>
              <w:rPr>
                <w:rFonts w:ascii="宋体" w:hAnsi="宋体" w:eastAsia="宋体"/>
                <w:sz w:val="18"/>
                <w:szCs w:val="18"/>
                <w:highlight w:val="none"/>
              </w:rPr>
            </w:pPr>
            <w:r>
              <w:rPr>
                <w:rFonts w:hint="eastAsia" w:ascii="宋体" w:hAnsi="宋体" w:eastAsia="宋体"/>
                <w:sz w:val="18"/>
                <w:szCs w:val="18"/>
                <w:highlight w:val="none"/>
              </w:rPr>
              <w:t>10套</w:t>
            </w:r>
          </w:p>
        </w:tc>
        <w:tc>
          <w:tcPr>
            <w:tcW w:w="969" w:type="dxa"/>
            <w:vAlign w:val="center"/>
          </w:tcPr>
          <w:p>
            <w:pPr>
              <w:snapToGrid w:val="0"/>
              <w:spacing w:line="380" w:lineRule="exact"/>
              <w:jc w:val="center"/>
              <w:rPr>
                <w:rFonts w:ascii="宋体" w:hAnsi="宋体" w:eastAsia="宋体"/>
                <w:sz w:val="18"/>
                <w:szCs w:val="18"/>
                <w:highlight w:val="none"/>
              </w:rPr>
            </w:pPr>
            <w:r>
              <w:rPr>
                <w:rFonts w:hint="eastAsia" w:ascii="宋体" w:hAnsi="宋体" w:eastAsia="宋体"/>
                <w:sz w:val="18"/>
                <w:szCs w:val="18"/>
                <w:highlight w:val="none"/>
              </w:rPr>
              <w:t>80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6" w:hRule="atLeast"/>
          <w:jc w:val="center"/>
        </w:trPr>
        <w:tc>
          <w:tcPr>
            <w:tcW w:w="1548" w:type="dxa"/>
            <w:vAlign w:val="center"/>
          </w:tcPr>
          <w:p>
            <w:pPr>
              <w:snapToGrid w:val="0"/>
              <w:spacing w:line="380" w:lineRule="exact"/>
              <w:jc w:val="center"/>
              <w:rPr>
                <w:rFonts w:ascii="宋体" w:hAnsi="宋体" w:eastAsia="宋体"/>
                <w:sz w:val="18"/>
                <w:szCs w:val="18"/>
                <w:highlight w:val="none"/>
              </w:rPr>
            </w:pPr>
            <w:r>
              <w:rPr>
                <w:rFonts w:hint="eastAsia" w:ascii="宋体" w:hAnsi="宋体" w:eastAsia="宋体"/>
                <w:sz w:val="18"/>
                <w:szCs w:val="18"/>
                <w:highlight w:val="none"/>
              </w:rPr>
              <w:t>神州数码网络有限公司</w:t>
            </w:r>
          </w:p>
        </w:tc>
        <w:tc>
          <w:tcPr>
            <w:tcW w:w="1821" w:type="dxa"/>
            <w:vAlign w:val="center"/>
          </w:tcPr>
          <w:p>
            <w:pPr>
              <w:snapToGrid w:val="0"/>
              <w:spacing w:line="380" w:lineRule="exact"/>
              <w:jc w:val="center"/>
              <w:rPr>
                <w:rFonts w:ascii="宋体" w:hAnsi="宋体" w:eastAsia="宋体"/>
                <w:sz w:val="18"/>
                <w:szCs w:val="18"/>
                <w:highlight w:val="none"/>
              </w:rPr>
            </w:pPr>
            <w:r>
              <w:rPr>
                <w:rFonts w:hint="eastAsia" w:ascii="宋体" w:hAnsi="宋体" w:eastAsia="宋体"/>
                <w:sz w:val="18"/>
                <w:szCs w:val="18"/>
                <w:highlight w:val="none"/>
              </w:rPr>
              <w:t>系统集成与网络安全</w:t>
            </w:r>
          </w:p>
        </w:tc>
        <w:tc>
          <w:tcPr>
            <w:tcW w:w="2731" w:type="dxa"/>
            <w:vAlign w:val="center"/>
          </w:tcPr>
          <w:p>
            <w:pPr>
              <w:snapToGrid w:val="0"/>
              <w:spacing w:line="380" w:lineRule="exact"/>
              <w:jc w:val="center"/>
              <w:rPr>
                <w:rFonts w:ascii="宋体" w:hAnsi="宋体" w:eastAsia="宋体"/>
                <w:sz w:val="18"/>
                <w:szCs w:val="18"/>
                <w:highlight w:val="none"/>
              </w:rPr>
            </w:pPr>
            <w:r>
              <w:rPr>
                <w:rFonts w:hint="eastAsia" w:ascii="宋体" w:hAnsi="宋体" w:eastAsia="宋体"/>
                <w:sz w:val="18"/>
                <w:szCs w:val="18"/>
                <w:highlight w:val="none"/>
              </w:rPr>
              <w:t>路由交换机、智能交换机、接入交换机、路由器、网络防火墙、网络管理和用户管理系统等</w:t>
            </w:r>
          </w:p>
        </w:tc>
        <w:tc>
          <w:tcPr>
            <w:tcW w:w="786" w:type="dxa"/>
            <w:vAlign w:val="center"/>
          </w:tcPr>
          <w:p>
            <w:pPr>
              <w:snapToGrid w:val="0"/>
              <w:spacing w:line="380" w:lineRule="exact"/>
              <w:jc w:val="center"/>
              <w:rPr>
                <w:rFonts w:ascii="宋体" w:hAnsi="宋体" w:eastAsia="宋体"/>
                <w:sz w:val="18"/>
                <w:szCs w:val="18"/>
                <w:highlight w:val="none"/>
              </w:rPr>
            </w:pPr>
            <w:r>
              <w:rPr>
                <w:rFonts w:hint="eastAsia" w:ascii="宋体" w:hAnsi="宋体" w:eastAsia="宋体"/>
                <w:sz w:val="18"/>
                <w:szCs w:val="18"/>
                <w:highlight w:val="none"/>
              </w:rPr>
              <w:t>12套</w:t>
            </w:r>
          </w:p>
        </w:tc>
        <w:tc>
          <w:tcPr>
            <w:tcW w:w="969" w:type="dxa"/>
            <w:vAlign w:val="center"/>
          </w:tcPr>
          <w:p>
            <w:pPr>
              <w:snapToGrid w:val="0"/>
              <w:spacing w:line="380" w:lineRule="exact"/>
              <w:jc w:val="center"/>
              <w:rPr>
                <w:rFonts w:ascii="宋体" w:hAnsi="宋体" w:eastAsia="宋体"/>
                <w:sz w:val="18"/>
                <w:szCs w:val="18"/>
                <w:highlight w:val="none"/>
              </w:rPr>
            </w:pPr>
            <w:r>
              <w:rPr>
                <w:rFonts w:hint="eastAsia" w:ascii="宋体" w:hAnsi="宋体" w:eastAsia="宋体"/>
                <w:sz w:val="18"/>
                <w:szCs w:val="18"/>
                <w:highlight w:val="none"/>
              </w:rPr>
              <w:t>60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2" w:hRule="atLeast"/>
          <w:jc w:val="center"/>
        </w:trPr>
        <w:tc>
          <w:tcPr>
            <w:tcW w:w="1548" w:type="dxa"/>
            <w:vAlign w:val="center"/>
          </w:tcPr>
          <w:p>
            <w:pPr>
              <w:snapToGrid w:val="0"/>
              <w:spacing w:line="380" w:lineRule="exact"/>
              <w:jc w:val="center"/>
              <w:rPr>
                <w:rFonts w:ascii="宋体" w:hAnsi="宋体" w:eastAsia="宋体"/>
                <w:sz w:val="18"/>
                <w:szCs w:val="18"/>
                <w:highlight w:val="none"/>
              </w:rPr>
            </w:pPr>
            <w:r>
              <w:rPr>
                <w:rFonts w:hint="eastAsia" w:ascii="宋体" w:hAnsi="宋体" w:eastAsia="宋体"/>
                <w:sz w:val="18"/>
                <w:szCs w:val="18"/>
                <w:highlight w:val="none"/>
              </w:rPr>
              <w:t>鹏博士电信传媒集团</w:t>
            </w:r>
          </w:p>
        </w:tc>
        <w:tc>
          <w:tcPr>
            <w:tcW w:w="1821" w:type="dxa"/>
            <w:vAlign w:val="center"/>
          </w:tcPr>
          <w:p>
            <w:pPr>
              <w:snapToGrid w:val="0"/>
              <w:spacing w:line="380" w:lineRule="exact"/>
              <w:rPr>
                <w:rFonts w:ascii="宋体" w:hAnsi="宋体" w:eastAsia="宋体"/>
                <w:sz w:val="18"/>
                <w:szCs w:val="18"/>
                <w:highlight w:val="none"/>
              </w:rPr>
            </w:pPr>
            <w:r>
              <w:rPr>
                <w:rFonts w:hint="eastAsia" w:ascii="宋体" w:hAnsi="宋体" w:eastAsia="宋体"/>
                <w:sz w:val="18"/>
                <w:szCs w:val="18"/>
                <w:highlight w:val="none"/>
              </w:rPr>
              <w:t>网络运维与IDC机房</w:t>
            </w:r>
          </w:p>
        </w:tc>
        <w:tc>
          <w:tcPr>
            <w:tcW w:w="2731" w:type="dxa"/>
            <w:vAlign w:val="center"/>
          </w:tcPr>
          <w:p>
            <w:pPr>
              <w:snapToGrid w:val="0"/>
              <w:spacing w:line="380" w:lineRule="exact"/>
              <w:jc w:val="center"/>
              <w:rPr>
                <w:rFonts w:ascii="宋体" w:hAnsi="宋体" w:eastAsia="宋体"/>
                <w:sz w:val="18"/>
                <w:szCs w:val="18"/>
                <w:highlight w:val="none"/>
              </w:rPr>
            </w:pPr>
            <w:r>
              <w:rPr>
                <w:rFonts w:hint="eastAsia" w:ascii="宋体" w:hAnsi="宋体" w:eastAsia="宋体"/>
                <w:sz w:val="18"/>
                <w:szCs w:val="18"/>
                <w:highlight w:val="none"/>
              </w:rPr>
              <w:t>路由器/交换机/服务器/网络防火墙</w:t>
            </w:r>
          </w:p>
        </w:tc>
        <w:tc>
          <w:tcPr>
            <w:tcW w:w="786" w:type="dxa"/>
            <w:vAlign w:val="center"/>
          </w:tcPr>
          <w:p>
            <w:pPr>
              <w:snapToGrid w:val="0"/>
              <w:spacing w:line="380" w:lineRule="exact"/>
              <w:jc w:val="center"/>
              <w:rPr>
                <w:rFonts w:ascii="宋体" w:hAnsi="宋体" w:eastAsia="宋体"/>
                <w:sz w:val="18"/>
                <w:szCs w:val="18"/>
                <w:highlight w:val="none"/>
              </w:rPr>
            </w:pPr>
            <w:r>
              <w:rPr>
                <w:rFonts w:hint="eastAsia" w:ascii="宋体" w:hAnsi="宋体" w:eastAsia="宋体"/>
                <w:sz w:val="18"/>
                <w:szCs w:val="18"/>
                <w:highlight w:val="none"/>
              </w:rPr>
              <w:t>50套</w:t>
            </w:r>
          </w:p>
        </w:tc>
        <w:tc>
          <w:tcPr>
            <w:tcW w:w="969" w:type="dxa"/>
            <w:vAlign w:val="center"/>
          </w:tcPr>
          <w:p>
            <w:pPr>
              <w:snapToGrid w:val="0"/>
              <w:spacing w:line="380" w:lineRule="exact"/>
              <w:jc w:val="center"/>
              <w:rPr>
                <w:rFonts w:ascii="宋体" w:hAnsi="宋体" w:eastAsia="宋体"/>
                <w:sz w:val="18"/>
                <w:szCs w:val="18"/>
                <w:highlight w:val="none"/>
              </w:rPr>
            </w:pPr>
            <w:r>
              <w:rPr>
                <w:rFonts w:hint="eastAsia" w:ascii="宋体" w:hAnsi="宋体" w:eastAsia="宋体"/>
                <w:sz w:val="18"/>
                <w:szCs w:val="18"/>
                <w:highlight w:val="none"/>
              </w:rPr>
              <w:t>100</w:t>
            </w:r>
          </w:p>
        </w:tc>
      </w:tr>
    </w:tbl>
    <w:p>
      <w:pPr>
        <w:snapToGrid w:val="0"/>
        <w:spacing w:line="380" w:lineRule="exact"/>
        <w:rPr>
          <w:rFonts w:ascii="宋体" w:hAnsi="宋体" w:eastAsia="宋体"/>
          <w:szCs w:val="21"/>
          <w:highlight w:val="none"/>
        </w:rPr>
      </w:pPr>
    </w:p>
    <w:p>
      <w:pPr>
        <w:snapToGrid w:val="0"/>
        <w:spacing w:line="380" w:lineRule="exact"/>
        <w:ind w:firstLine="420" w:firstLineChars="200"/>
        <w:outlineLvl w:val="1"/>
        <w:rPr>
          <w:rFonts w:ascii="宋体" w:hAnsi="宋体" w:eastAsia="宋体"/>
          <w:szCs w:val="21"/>
          <w:highlight w:val="none"/>
        </w:rPr>
      </w:pPr>
      <w:bookmarkStart w:id="12" w:name="_Toc327706749"/>
      <w:r>
        <w:rPr>
          <w:rFonts w:hint="eastAsia" w:ascii="宋体" w:hAnsi="宋体" w:eastAsia="宋体"/>
          <w:szCs w:val="21"/>
          <w:highlight w:val="none"/>
        </w:rPr>
        <w:t>（三）其他资源</w:t>
      </w:r>
      <w:bookmarkEnd w:id="12"/>
    </w:p>
    <w:p>
      <w:pPr>
        <w:snapToGrid w:val="0"/>
        <w:spacing w:line="380" w:lineRule="exact"/>
        <w:ind w:firstLine="420" w:firstLineChars="200"/>
        <w:rPr>
          <w:rFonts w:ascii="宋体" w:hAnsi="宋体" w:eastAsia="宋体"/>
          <w:szCs w:val="21"/>
          <w:highlight w:val="none"/>
        </w:rPr>
      </w:pPr>
      <w:r>
        <w:rPr>
          <w:rFonts w:hint="eastAsia" w:ascii="宋体" w:hAnsi="宋体" w:cs="宋体"/>
          <w:color w:val="000000"/>
          <w:szCs w:val="21"/>
          <w:highlight w:val="none"/>
        </w:rPr>
        <w:t>1</w:t>
      </w:r>
      <w:r>
        <w:rPr>
          <w:rFonts w:hint="eastAsia" w:ascii="宋体" w:hAnsi="宋体" w:eastAsia="宋体"/>
          <w:szCs w:val="21"/>
          <w:highlight w:val="none"/>
        </w:rPr>
        <w:t>.构建网络技术专业实践教学辅助网站。</w:t>
      </w:r>
    </w:p>
    <w:p>
      <w:pPr>
        <w:snapToGrid w:val="0"/>
        <w:spacing w:line="380" w:lineRule="exact"/>
        <w:ind w:firstLine="420" w:firstLineChars="200"/>
        <w:rPr>
          <w:rFonts w:ascii="宋体" w:hAnsi="宋体" w:eastAsia="宋体"/>
          <w:szCs w:val="21"/>
          <w:highlight w:val="none"/>
        </w:rPr>
      </w:pPr>
      <w:r>
        <w:rPr>
          <w:rFonts w:hint="eastAsia" w:ascii="宋体" w:hAnsi="宋体" w:eastAsia="宋体"/>
          <w:szCs w:val="21"/>
          <w:highlight w:val="none"/>
        </w:rPr>
        <w:t>2.专业教师与行业专家合作，建成了包含教学资源库（教学课件、案例库、电子教材、电子教案、授课计划、课程整体设计录像、课程标准）、学习资源库（教学录像、习题库、实习实训项目、学习指南、电子图书）、多媒体素材库（图片素材、音视频素材）、考试资源库（试题库、职业技能鉴定项目）等四个库的立体性教学资源库，为教师和学生服务。学生可通过各种形式进行自主学习，拓宽知识领域，提高学习效率；教师可加强自身学习，提高教学能力；学院其他相关或相近专业、校外相关或相近专业可通过多种方式共享本专业的专业教学资源。</w:t>
      </w:r>
    </w:p>
    <w:p>
      <w:pPr>
        <w:snapToGrid w:val="0"/>
        <w:spacing w:line="380" w:lineRule="exact"/>
        <w:ind w:firstLine="482" w:firstLineChars="200"/>
        <w:outlineLvl w:val="0"/>
        <w:rPr>
          <w:rFonts w:ascii="宋体" w:hAnsi="宋体" w:eastAsia="宋体"/>
          <w:b/>
          <w:sz w:val="24"/>
          <w:highlight w:val="none"/>
        </w:rPr>
      </w:pPr>
      <w:bookmarkStart w:id="13" w:name="_Toc327706750"/>
      <w:r>
        <w:rPr>
          <w:rFonts w:hint="eastAsia" w:ascii="宋体" w:hAnsi="宋体" w:eastAsia="宋体"/>
          <w:b/>
          <w:sz w:val="24"/>
          <w:highlight w:val="none"/>
        </w:rPr>
        <w:t xml:space="preserve"> 九、运行实施与保障措施</w:t>
      </w:r>
      <w:bookmarkEnd w:id="13"/>
    </w:p>
    <w:p>
      <w:pPr>
        <w:spacing w:line="380" w:lineRule="exact"/>
        <w:ind w:firstLine="420" w:firstLineChars="200"/>
        <w:rPr>
          <w:rFonts w:ascii="宋体" w:hAnsi="宋体" w:eastAsia="宋体" w:cs="宋体"/>
          <w:highlight w:val="none"/>
        </w:rPr>
      </w:pPr>
      <w:r>
        <w:rPr>
          <w:rFonts w:hint="eastAsia" w:ascii="宋体" w:hAnsi="宋体" w:eastAsia="宋体" w:cs="宋体"/>
          <w:highlight w:val="none"/>
        </w:rPr>
        <w:t>（一）教学组织与实施</w:t>
      </w:r>
    </w:p>
    <w:p>
      <w:pPr>
        <w:spacing w:line="380" w:lineRule="exact"/>
        <w:ind w:firstLine="420" w:firstLineChars="200"/>
        <w:rPr>
          <w:rFonts w:ascii="宋体" w:hAnsi="宋体" w:eastAsia="宋体" w:cs="宋体"/>
          <w:bCs/>
          <w:highlight w:val="none"/>
        </w:rPr>
      </w:pPr>
      <w:r>
        <w:rPr>
          <w:rFonts w:hint="eastAsia" w:ascii="宋体" w:hAnsi="宋体" w:eastAsia="宋体" w:cs="宋体"/>
          <w:bCs/>
          <w:highlight w:val="none"/>
        </w:rPr>
        <w:t>1.通用职业能力与素质教学和育人活动的组织实施</w:t>
      </w:r>
    </w:p>
    <w:p>
      <w:pPr>
        <w:spacing w:line="380" w:lineRule="exact"/>
        <w:ind w:firstLine="420" w:firstLineChars="200"/>
        <w:rPr>
          <w:rFonts w:ascii="宋体" w:hAnsi="宋体" w:eastAsia="宋体" w:cs="宋体"/>
          <w:bCs/>
          <w:highlight w:val="none"/>
        </w:rPr>
      </w:pPr>
      <w:r>
        <w:rPr>
          <w:rFonts w:hint="eastAsia" w:ascii="宋体" w:hAnsi="宋体" w:eastAsia="宋体" w:cs="宋体"/>
          <w:bCs/>
          <w:highlight w:val="none"/>
        </w:rPr>
        <w:t>贯彻立德树人根本任务，立足</w:t>
      </w:r>
      <w:r>
        <w:rPr>
          <w:rFonts w:ascii="Segoe UI" w:hAnsi="Segoe UI" w:eastAsia="宋体" w:cs="Segoe UI"/>
          <w:highlight w:val="none"/>
        </w:rPr>
        <w:t>培养德智体美</w:t>
      </w:r>
      <w:r>
        <w:rPr>
          <w:rFonts w:hint="eastAsia" w:ascii="Segoe UI" w:hAnsi="Segoe UI" w:eastAsia="宋体" w:cs="Segoe UI"/>
          <w:highlight w:val="none"/>
          <w:lang w:val="en-US" w:eastAsia="zh-CN"/>
        </w:rPr>
        <w:t>劳</w:t>
      </w:r>
      <w:r>
        <w:rPr>
          <w:rFonts w:ascii="Segoe UI" w:hAnsi="Segoe UI" w:eastAsia="宋体" w:cs="Segoe UI"/>
          <w:highlight w:val="none"/>
        </w:rPr>
        <w:t>全面发展的社会主义事业建设者和接班人</w:t>
      </w:r>
      <w:r>
        <w:rPr>
          <w:rFonts w:hint="eastAsia" w:ascii="Segoe UI" w:hAnsi="Segoe UI" w:eastAsia="宋体" w:cs="Segoe UI"/>
          <w:highlight w:val="none"/>
        </w:rPr>
        <w:t>，</w:t>
      </w:r>
      <w:r>
        <w:rPr>
          <w:rFonts w:hint="eastAsia" w:ascii="宋体" w:hAnsi="宋体" w:eastAsia="宋体" w:cs="宋体"/>
          <w:bCs/>
          <w:highlight w:val="none"/>
        </w:rPr>
        <w:t>以提高学生素质能力为着力点，既要</w:t>
      </w:r>
      <w:r>
        <w:rPr>
          <w:rFonts w:hint="eastAsia" w:ascii="宋体" w:hAnsi="宋体" w:eastAsia="宋体" w:cs="宋体"/>
          <w:highlight w:val="none"/>
        </w:rPr>
        <w:t>培养学生以专业知识与技能为主要内容的关键专业能力，更要注重提高学生的思想水平、政治觉悟、道德品质为主要内容的思想政治素质以及自我学习管理、信息处理、交流沟通、团队合作、社会责任、职业价值观等为主要内容的基本通用能力和关键社会能力。</w:t>
      </w:r>
    </w:p>
    <w:p>
      <w:pPr>
        <w:spacing w:line="380" w:lineRule="exact"/>
        <w:rPr>
          <w:rFonts w:ascii="宋体" w:hAnsi="宋体" w:eastAsia="宋体" w:cs="宋体"/>
          <w:highlight w:val="none"/>
        </w:rPr>
      </w:pPr>
      <w:r>
        <w:rPr>
          <w:rFonts w:hint="eastAsia" w:ascii="宋体" w:hAnsi="宋体" w:eastAsia="宋体" w:cs="宋体"/>
          <w:b/>
          <w:highlight w:val="none"/>
        </w:rPr>
        <w:t xml:space="preserve">    </w:t>
      </w:r>
      <w:r>
        <w:rPr>
          <w:rFonts w:hint="eastAsia" w:ascii="宋体" w:hAnsi="宋体" w:eastAsia="宋体" w:cs="宋体"/>
          <w:highlight w:val="none"/>
        </w:rPr>
        <w:t>专业学生的通用职业能力与素质教学和育人活动分成三个时期，由学院办公室﹒组织人事处、党办﹒宣传部、教务处、产学研培中心、学工处·武装部、团委、财务处、、招生处、就业处•创新创业学院、安全保卫处、后勤处、公共课教学部、思政部和专业系等部门协同组织在校内和校外实施。其中，三个时期包括入学适应与素质能力培养阶段（第1-2学期）、素质能力提升阶段（即第2-3学期）、毕业教育和适应社会阶段（第5-6学期）。</w:t>
      </w:r>
    </w:p>
    <w:p>
      <w:pPr>
        <w:spacing w:line="380" w:lineRule="exact"/>
        <w:ind w:firstLine="420" w:firstLineChars="200"/>
        <w:rPr>
          <w:rFonts w:ascii="宋体" w:hAnsi="宋体" w:eastAsia="宋体" w:cs="宋体"/>
          <w:highlight w:val="none"/>
        </w:rPr>
      </w:pPr>
      <w:r>
        <w:rPr>
          <w:rFonts w:hint="eastAsia" w:ascii="宋体" w:hAnsi="宋体" w:eastAsia="宋体" w:cs="宋体"/>
          <w:highlight w:val="none"/>
        </w:rPr>
        <w:t>入学适应与素质能力培养阶段（第1-2学期）主要通过军事训练与军事理论、入学教育活动、思政课、公共基础课、专业认知、院系专项主题实践活动等，帮助学生完成由“中学生”向“大学生”身份的转变，引导大学生适应大学生活，注重社交礼仪、加强自我管理，探索职业目标，引导学生适应大学校园环境，适应大学学习和生活变化，探索职业目标，树立人生奋斗新目标。</w:t>
      </w:r>
    </w:p>
    <w:p>
      <w:pPr>
        <w:spacing w:line="380" w:lineRule="exact"/>
        <w:ind w:firstLine="420" w:firstLineChars="200"/>
        <w:rPr>
          <w:rFonts w:ascii="宋体" w:hAnsi="宋体" w:eastAsia="宋体" w:cs="宋体"/>
          <w:highlight w:val="none"/>
        </w:rPr>
      </w:pPr>
      <w:r>
        <w:rPr>
          <w:rFonts w:hint="eastAsia" w:ascii="宋体" w:hAnsi="宋体" w:eastAsia="宋体" w:cs="宋体"/>
          <w:highlight w:val="none"/>
        </w:rPr>
        <w:t>素质能力提升阶段（即第3-4学期）主要通过思政课、公共基础课、专业课、专业技能训练、技能比赛以及院系专项主题实践活动，着重培养学生的基本素质能力素质，尤其是专业能力，在培养专业能力的同时，注重将思想政治教育融入全过程，注重基本素质能力和专业能力的相互融通，为学生将来就业打下坚实基础。</w:t>
      </w:r>
    </w:p>
    <w:p>
      <w:pPr>
        <w:spacing w:line="380" w:lineRule="exact"/>
        <w:ind w:firstLine="420" w:firstLineChars="200"/>
        <w:rPr>
          <w:rFonts w:ascii="宋体" w:hAnsi="宋体" w:eastAsia="宋体" w:cs="宋体"/>
          <w:highlight w:val="none"/>
        </w:rPr>
      </w:pPr>
      <w:r>
        <w:rPr>
          <w:rFonts w:hint="eastAsia" w:ascii="宋体" w:hAnsi="宋体" w:eastAsia="宋体" w:cs="宋体"/>
          <w:highlight w:val="none"/>
        </w:rPr>
        <w:t>毕业教育和适应社会阶段（第5-6学期）主要通过专业课、院系专项主题实践活动、顶岗实习或兼职，职前教育培训或专题讲座、职业技能鉴定或竞赛等，引导学生积极搜集就业招聘信息，进行毕业心理与情绪调节，学会制作求职简历和进行应聘面试演练，引导学生积极面对就业，促进大学生从“校园人”向“职业人”和“中国公民”角色的良好转变与适应，为实现更高质量的就业创业和可持续发展奠定基础。</w:t>
      </w:r>
    </w:p>
    <w:p>
      <w:pPr>
        <w:spacing w:line="380" w:lineRule="exact"/>
        <w:ind w:firstLine="420" w:firstLineChars="200"/>
        <w:rPr>
          <w:rFonts w:ascii="宋体" w:hAnsi="宋体" w:eastAsia="宋体" w:cs="宋体"/>
          <w:highlight w:val="none"/>
        </w:rPr>
      </w:pPr>
      <w:r>
        <w:rPr>
          <w:rFonts w:hint="eastAsia" w:ascii="宋体" w:hAnsi="宋体" w:eastAsia="宋体" w:cs="宋体"/>
          <w:highlight w:val="none"/>
        </w:rPr>
        <w:t>通用职业能力与素质教学和育人活动组织安排表参见下表：</w:t>
      </w:r>
    </w:p>
    <w:p>
      <w:pPr>
        <w:jc w:val="center"/>
        <w:rPr>
          <w:rFonts w:ascii="宋体" w:hAnsi="宋体" w:eastAsia="宋体" w:cs="Times New Roman"/>
          <w:b/>
          <w:highlight w:val="none"/>
        </w:rPr>
      </w:pPr>
      <w:r>
        <w:rPr>
          <w:rFonts w:hint="eastAsia" w:ascii="宋体" w:hAnsi="宋体" w:eastAsia="宋体" w:cs="Times New Roman"/>
          <w:b/>
          <w:highlight w:val="none"/>
        </w:rPr>
        <w:t>通用职业能力与素质教学和育人活动组织安排表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596"/>
        <w:gridCol w:w="586"/>
        <w:gridCol w:w="2128"/>
        <w:gridCol w:w="1263"/>
        <w:gridCol w:w="1748"/>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0" w:type="auto"/>
            <w:vMerge w:val="restart"/>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培养阶段</w:t>
            </w:r>
          </w:p>
        </w:tc>
        <w:tc>
          <w:tcPr>
            <w:tcW w:w="0" w:type="auto"/>
            <w:vMerge w:val="restart"/>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实施</w:t>
            </w:r>
          </w:p>
          <w:p>
            <w:pPr>
              <w:jc w:val="center"/>
              <w:rPr>
                <w:rFonts w:ascii="宋体" w:hAnsi="宋体" w:eastAsia="宋体" w:cs="宋体"/>
                <w:sz w:val="18"/>
                <w:szCs w:val="18"/>
                <w:highlight w:val="none"/>
              </w:rPr>
            </w:pPr>
            <w:r>
              <w:rPr>
                <w:rFonts w:hint="eastAsia" w:ascii="宋体" w:hAnsi="宋体" w:eastAsia="宋体" w:cs="宋体"/>
                <w:sz w:val="18"/>
                <w:szCs w:val="18"/>
                <w:highlight w:val="none"/>
              </w:rPr>
              <w:t>学期</w:t>
            </w:r>
          </w:p>
        </w:tc>
        <w:tc>
          <w:tcPr>
            <w:tcW w:w="0" w:type="auto"/>
            <w:vMerge w:val="restart"/>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培养与提升内容</w:t>
            </w:r>
          </w:p>
        </w:tc>
        <w:tc>
          <w:tcPr>
            <w:tcW w:w="0" w:type="auto"/>
            <w:gridSpan w:val="4"/>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课程教学</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实施部门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实践育人</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入学适应与素质能力培养阶段</w:t>
            </w:r>
          </w:p>
        </w:tc>
        <w:tc>
          <w:tcPr>
            <w:tcW w:w="0" w:type="auto"/>
            <w:vMerge w:val="restart"/>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第1-2学期</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思想政治素质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军事训练与军事理论课、思想道德与法治、毛泽东思想与中国特色社会主义理论体系概论、五粮文化育人学思践悟等</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思政部、公共课部、武装部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国庆节主题活动、升旗仪式、</w:t>
            </w:r>
          </w:p>
          <w:p>
            <w:pPr>
              <w:jc w:val="center"/>
              <w:rPr>
                <w:rFonts w:ascii="宋体" w:hAnsi="宋体" w:eastAsia="宋体" w:cs="宋体"/>
                <w:sz w:val="18"/>
                <w:szCs w:val="18"/>
                <w:highlight w:val="none"/>
              </w:rPr>
            </w:pPr>
            <w:r>
              <w:rPr>
                <w:rFonts w:hint="eastAsia" w:ascii="宋体" w:hAnsi="宋体" w:eastAsia="宋体" w:cs="宋体"/>
                <w:sz w:val="18"/>
                <w:szCs w:val="18"/>
                <w:highlight w:val="none"/>
              </w:rPr>
              <w:t>学生军训教官的选拔与培养</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宣传部、学工处·武装部、团委、专业系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身心健康</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体育与健康、大学生心理健康、职业素质修炼、大学生安全教育、</w:t>
            </w:r>
          </w:p>
          <w:p>
            <w:pPr>
              <w:jc w:val="center"/>
              <w:rPr>
                <w:rFonts w:ascii="宋体" w:hAnsi="宋体" w:eastAsia="宋体" w:cs="宋体"/>
                <w:sz w:val="18"/>
                <w:szCs w:val="18"/>
                <w:highlight w:val="none"/>
              </w:rPr>
            </w:pPr>
            <w:r>
              <w:rPr>
                <w:rFonts w:hint="eastAsia" w:ascii="宋体" w:hAnsi="宋体" w:eastAsia="宋体" w:cs="宋体"/>
                <w:sz w:val="18"/>
                <w:szCs w:val="18"/>
                <w:highlight w:val="none"/>
              </w:rPr>
              <w:t>大学生健康教育</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思政部、公共课部、学工处·团委·武装部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心理健康情况筛查、心理情景剧、心理健康讲座、运动会、体育社团、运动队、晨跑活动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文化素质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实用大学语文、综合英语、五粮文化育人学思践悟</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公共课部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演讲比赛、摄影比赛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职业素质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kern w:val="0"/>
                <w:sz w:val="18"/>
                <w:szCs w:val="18"/>
                <w:highlight w:val="none"/>
              </w:rPr>
              <w:t>思想道德与法治</w:t>
            </w:r>
            <w:r>
              <w:rPr>
                <w:rFonts w:hint="eastAsia" w:ascii="宋体" w:hAnsi="宋体" w:eastAsia="宋体" w:cs="宋体"/>
                <w:bCs/>
                <w:kern w:val="0"/>
                <w:sz w:val="18"/>
                <w:szCs w:val="18"/>
                <w:highlight w:val="none"/>
              </w:rPr>
              <w:t>、</w:t>
            </w:r>
            <w:r>
              <w:rPr>
                <w:rFonts w:hint="eastAsia" w:ascii="宋体" w:hAnsi="宋体" w:eastAsia="宋体" w:cs="宋体"/>
                <w:kern w:val="0"/>
                <w:sz w:val="18"/>
                <w:szCs w:val="18"/>
                <w:highlight w:val="none"/>
              </w:rPr>
              <w:t>大学生创新创业基础、</w:t>
            </w:r>
            <w:r>
              <w:rPr>
                <w:rFonts w:hint="eastAsia" w:ascii="宋体" w:hAnsi="宋体" w:eastAsia="宋体" w:cs="宋体"/>
                <w:sz w:val="18"/>
                <w:szCs w:val="18"/>
                <w:highlight w:val="none"/>
              </w:rPr>
              <w:t>大学生职业素质修炼、大学生就业指导</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公共课部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互联网+创业大赛、通用职业技能大赛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学工处·武装部、团委、创新创业学院、公共课部、各专业系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基本通用能力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划、实用大学数学、实用大学语文、综合英语、计算机基础等</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公共课部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英语角、数学建模社、有关社团、新生报到、迎新宣传活动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学工处、财务处、团委、公共课部、各专业系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关键社会能力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职业素质修炼、实用大学数学、实用大学语文、综合英语、计算机基础、</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公共课部、思政部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综治安全专题教育活动、世界粮食、世界读书日、劳动周等活动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学工处·武装部、团委、党办、安全保卫处、后勤处、各专业系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创新创业能力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创新创业基础</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公共课部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创客空间、创新创业实践</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教务处、学工处·武装部、团委、创新创业学院、各专业系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0" w:type="auto"/>
            <w:vMerge w:val="restart"/>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素质能力提升阶段</w:t>
            </w:r>
          </w:p>
        </w:tc>
        <w:tc>
          <w:tcPr>
            <w:tcW w:w="0" w:type="auto"/>
            <w:vMerge w:val="restart"/>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第3-4学期</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思想政治素质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形势与政策、红色文化十讲、专业课、专业技能训练</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思政部、专业系</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升旗仪式、社团活动、社会实践、大学生假期社会调查、专题讲座等</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教务处、学工处·武装部、团委、专业系、党办﹒宣传部、思政部、公共课部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身心健康</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体育与健康课</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公共课部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体育社团活动、阳光体育运动、晨跑活动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学工处·武装部、团委、专业系、公共课部、各专业系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文化素质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中华传统文化、音乐鉴赏、演讲与口才、影视鉴赏等</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公共课部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演讲比赛、摄影比赛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职业素质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大学生职业素质修炼</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公共课部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技能节比赛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教务处、公共课部、思政部、各专业系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基本通用能力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大学生职业素质修炼</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思政部、公共课部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英语角、5.25专题活动、心理健康专题讲座等</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57" w:hRule="atLeas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关键社会能力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大学生职业素质修炼等课</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公共课部、各专业系</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社团活动、职前专项培训、社会实践、大学生假期社会调查、迎新接待、专题讲座等</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7" w:hRule="atLeas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创新创业能力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仿宋"/>
                <w:kern w:val="0"/>
                <w:sz w:val="18"/>
                <w:szCs w:val="18"/>
                <w:highlight w:val="none"/>
              </w:rPr>
              <w:t>创新创业训练与管理</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公共课部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创新创业实践、创业大赛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50" w:hRule="atLeast"/>
        </w:trPr>
        <w:tc>
          <w:tcPr>
            <w:tcW w:w="0" w:type="auto"/>
            <w:vMerge w:val="restart"/>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毕业教育和适应社会阶段</w:t>
            </w:r>
          </w:p>
        </w:tc>
        <w:tc>
          <w:tcPr>
            <w:tcW w:w="0" w:type="auto"/>
            <w:vMerge w:val="restart"/>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第5-6学期</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思想政治素质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专题讲座</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党办·宣传部、思政部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升旗仪式、大学生应征入伍宣传教育活动、感恩教育</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学工处·武装部、团委、党办﹒宣传部、创新创业学院、教务处、专业系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身心健康</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毕业生心理健康讲座</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5.25专题活动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运动会、体育社团、运动队</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学工处·武装部、团委、党办﹒宣传部、保卫处、公共课部、各专业系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文化素质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学生社团</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各专业系</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策划方案</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职业素质</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社会实践</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各专业系</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策划方案</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基本通用能力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毕业设计</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各专业系</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企业见习、专业竞赛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教务处、创新创业学院、各专业系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8" w:hRule="atLeas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关键社会能力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毕业实习</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各专业系</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感恩教育、毕业典礼、创新创业社团活动、创客空间活动、毕业巡演</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院办、党办、学工处·武装部、团委、就业处、各专业系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0" w:type="auto"/>
            <w:vMerge w:val="continue"/>
            <w:vAlign w:val="center"/>
          </w:tcPr>
          <w:p>
            <w:pPr>
              <w:jc w:val="center"/>
              <w:rPr>
                <w:rFonts w:ascii="宋体" w:hAnsi="宋体" w:eastAsia="宋体" w:cs="宋体"/>
                <w:sz w:val="18"/>
                <w:szCs w:val="18"/>
                <w:highlight w:val="none"/>
              </w:rPr>
            </w:pPr>
          </w:p>
        </w:tc>
        <w:tc>
          <w:tcPr>
            <w:tcW w:w="0" w:type="auto"/>
            <w:vMerge w:val="continue"/>
            <w:vAlign w:val="center"/>
          </w:tcPr>
          <w:p>
            <w:pPr>
              <w:jc w:val="center"/>
              <w:rPr>
                <w:rFonts w:ascii="宋体" w:hAnsi="宋体" w:eastAsia="宋体" w:cs="宋体"/>
                <w:sz w:val="18"/>
                <w:szCs w:val="18"/>
                <w:highlight w:val="none"/>
              </w:rPr>
            </w:pP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创新创业能力</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创新创业实践</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各专业系</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创业讲座、培训</w:t>
            </w:r>
          </w:p>
        </w:tc>
        <w:tc>
          <w:tcPr>
            <w:tcW w:w="0" w:type="auto"/>
            <w:vAlign w:val="center"/>
          </w:tcPr>
          <w:p>
            <w:pPr>
              <w:jc w:val="center"/>
              <w:rPr>
                <w:rFonts w:ascii="宋体" w:hAnsi="宋体" w:eastAsia="宋体" w:cs="宋体"/>
                <w:sz w:val="18"/>
                <w:szCs w:val="18"/>
                <w:highlight w:val="none"/>
              </w:rPr>
            </w:pPr>
            <w:r>
              <w:rPr>
                <w:rFonts w:hint="eastAsia" w:ascii="宋体" w:hAnsi="宋体" w:eastAsia="宋体" w:cs="宋体"/>
                <w:sz w:val="18"/>
                <w:szCs w:val="18"/>
                <w:highlight w:val="none"/>
              </w:rPr>
              <w:t>创新创业学院、各专业系</w:t>
            </w:r>
          </w:p>
        </w:tc>
      </w:tr>
    </w:tbl>
    <w:p>
      <w:pPr>
        <w:ind w:firstLine="420" w:firstLineChars="200"/>
        <w:rPr>
          <w:rFonts w:ascii="宋体" w:hAnsi="宋体" w:eastAsia="宋体"/>
          <w:highlight w:val="none"/>
        </w:rPr>
      </w:pPr>
    </w:p>
    <w:p>
      <w:pPr>
        <w:pStyle w:val="24"/>
        <w:ind w:firstLine="0" w:firstLineChars="0"/>
        <w:rPr>
          <w:rFonts w:ascii="宋体" w:hAnsi="宋体" w:eastAsia="宋体"/>
          <w:b/>
          <w:highlight w:val="none"/>
        </w:rPr>
      </w:pPr>
      <w:r>
        <w:rPr>
          <w:rFonts w:hint="eastAsia" w:ascii="宋体" w:hAnsi="宋体" w:eastAsia="宋体"/>
          <w:b/>
          <w:highlight w:val="none"/>
        </w:rPr>
        <w:t xml:space="preserve">  </w:t>
      </w:r>
      <w:r>
        <w:rPr>
          <w:rFonts w:hint="eastAsia" w:ascii="宋体" w:hAnsi="宋体" w:eastAsia="宋体"/>
          <w:bCs/>
          <w:highlight w:val="none"/>
        </w:rPr>
        <w:t xml:space="preserve">   2.专业职业能力、素质与创新创业能力教育的组织实施</w:t>
      </w:r>
    </w:p>
    <w:p>
      <w:pPr>
        <w:spacing w:line="380" w:lineRule="exact"/>
        <w:ind w:firstLine="420" w:firstLineChars="200"/>
        <w:rPr>
          <w:rFonts w:ascii="宋体" w:hAnsi="宋体" w:eastAsia="宋体" w:cs="Times New Roman"/>
          <w:color w:val="000000"/>
          <w:szCs w:val="21"/>
          <w:highlight w:val="none"/>
        </w:rPr>
      </w:pPr>
      <w:r>
        <w:rPr>
          <w:rFonts w:hint="eastAsia" w:ascii="宋体" w:hAnsi="宋体" w:eastAsia="宋体" w:cs="宋体"/>
          <w:color w:val="000000"/>
          <w:highlight w:val="none"/>
        </w:rPr>
        <w:t>信息安全与管理专业</w:t>
      </w:r>
      <w:r>
        <w:rPr>
          <w:rFonts w:hint="eastAsia" w:ascii="宋体" w:hAnsi="宋体" w:eastAsia="宋体" w:cs="Times New Roman"/>
          <w:color w:val="000000"/>
          <w:szCs w:val="21"/>
          <w:highlight w:val="none"/>
        </w:rPr>
        <w:t>在院系领导和全体专业教师的共同努力下，于2018年开始招生</w:t>
      </w:r>
      <w:r>
        <w:rPr>
          <w:rFonts w:hint="eastAsia" w:ascii="宋体" w:hAnsi="宋体" w:eastAsia="宋体" w:cs="宋体"/>
          <w:color w:val="000000"/>
          <w:highlight w:val="none"/>
        </w:rPr>
        <w:t>。</w:t>
      </w:r>
      <w:r>
        <w:rPr>
          <w:rFonts w:hint="eastAsia" w:ascii="宋体" w:hAnsi="宋体" w:eastAsia="宋体" w:cs="Times New Roman"/>
          <w:color w:val="000000"/>
          <w:szCs w:val="21"/>
          <w:highlight w:val="none"/>
        </w:rPr>
        <w:t>但与全国先进院校相比，在国家级竞赛、设备投入、师资力量和教学理念的更新等方面还有一定的差距，这也将是今后几年我们追赶的目标。为强化专业核心竞争力，打造专业特色，拟采取以下措施：</w:t>
      </w:r>
    </w:p>
    <w:p>
      <w:pPr>
        <w:numPr>
          <w:ilvl w:val="0"/>
          <w:numId w:val="11"/>
        </w:numPr>
        <w:spacing w:line="380" w:lineRule="exact"/>
        <w:ind w:firstLine="420" w:firstLineChars="200"/>
        <w:rPr>
          <w:rFonts w:ascii="宋体" w:hAnsi="宋体" w:eastAsia="宋体" w:cs="宋体"/>
          <w:color w:val="000000"/>
          <w:highlight w:val="none"/>
        </w:rPr>
      </w:pPr>
      <w:r>
        <w:rPr>
          <w:rFonts w:hint="eastAsia" w:ascii="宋体" w:hAnsi="宋体" w:eastAsia="宋体" w:cs="宋体"/>
          <w:color w:val="000000"/>
          <w:highlight w:val="none"/>
        </w:rPr>
        <w:t>大力加强对优秀学生参加校外竞赛的指导力度，高标准、严要求，充分准备，齐抓共建，争取在国赛中有所突破，取得好成绩。</w:t>
      </w:r>
    </w:p>
    <w:p>
      <w:pPr>
        <w:numPr>
          <w:ilvl w:val="0"/>
          <w:numId w:val="11"/>
        </w:numPr>
        <w:spacing w:line="380" w:lineRule="exact"/>
        <w:ind w:firstLine="420" w:firstLineChars="200"/>
        <w:rPr>
          <w:rFonts w:ascii="宋体" w:hAnsi="宋体" w:eastAsia="宋体" w:cs="宋体"/>
          <w:color w:val="000000"/>
          <w:highlight w:val="none"/>
        </w:rPr>
      </w:pPr>
      <w:r>
        <w:rPr>
          <w:rFonts w:hint="eastAsia" w:ascii="宋体" w:hAnsi="宋体" w:eastAsia="宋体" w:cs="宋体"/>
          <w:color w:val="000000"/>
          <w:highlight w:val="none"/>
        </w:rPr>
        <w:t>洞悉行业发展，把握专业走向，适应社会变化，找到明确定位，后期实训场所要围绕信息安全、大数据、云计算等相关领域进行建设。</w:t>
      </w:r>
    </w:p>
    <w:p>
      <w:pPr>
        <w:numPr>
          <w:ilvl w:val="0"/>
          <w:numId w:val="11"/>
        </w:numPr>
        <w:spacing w:line="380" w:lineRule="exact"/>
        <w:ind w:firstLine="420" w:firstLineChars="200"/>
        <w:rPr>
          <w:rFonts w:ascii="宋体" w:hAnsi="宋体" w:eastAsia="宋体" w:cs="宋体"/>
          <w:color w:val="000000"/>
          <w:highlight w:val="none"/>
        </w:rPr>
      </w:pPr>
      <w:r>
        <w:rPr>
          <w:rFonts w:hint="eastAsia" w:ascii="宋体" w:hAnsi="宋体" w:eastAsia="宋体" w:cs="宋体"/>
          <w:color w:val="000000"/>
          <w:highlight w:val="none"/>
        </w:rPr>
        <w:t>鼓励教师赴专业对口企业进行挂职锻炼，学习新技术，掌握新技能，更好地应用于一线教学。</w:t>
      </w:r>
    </w:p>
    <w:p>
      <w:pPr>
        <w:numPr>
          <w:ilvl w:val="0"/>
          <w:numId w:val="11"/>
        </w:numPr>
        <w:spacing w:line="380" w:lineRule="exact"/>
        <w:ind w:firstLine="420" w:firstLineChars="200"/>
        <w:rPr>
          <w:rFonts w:ascii="宋体" w:hAnsi="宋体" w:eastAsia="宋体" w:cs="宋体"/>
          <w:color w:val="000000"/>
          <w:highlight w:val="none"/>
        </w:rPr>
      </w:pPr>
      <w:r>
        <w:rPr>
          <w:rFonts w:hint="eastAsia" w:ascii="宋体" w:hAnsi="宋体" w:eastAsia="宋体" w:cs="宋体"/>
          <w:color w:val="000000"/>
          <w:highlight w:val="none"/>
        </w:rPr>
        <w:t>加强校企合作力度，定期对企业进行走访调研，聘请企业工程师指导专业建设、参与专业教学、开展专业讲座。</w:t>
      </w:r>
    </w:p>
    <w:p>
      <w:pPr>
        <w:numPr>
          <w:ilvl w:val="0"/>
          <w:numId w:val="11"/>
        </w:numPr>
        <w:spacing w:line="380" w:lineRule="exact"/>
        <w:ind w:firstLine="420" w:firstLineChars="200"/>
        <w:rPr>
          <w:rFonts w:ascii="宋体" w:hAnsi="宋体" w:eastAsia="宋体" w:cs="宋体"/>
          <w:color w:val="000000"/>
          <w:highlight w:val="none"/>
        </w:rPr>
      </w:pPr>
      <w:r>
        <w:rPr>
          <w:rFonts w:hint="eastAsia" w:ascii="宋体" w:hAnsi="宋体" w:eastAsia="宋体" w:cs="宋体"/>
          <w:color w:val="000000"/>
          <w:highlight w:val="none"/>
        </w:rPr>
        <w:t>加强与兄弟院校的合作交流，分享经验，学习更新教育理念。</w:t>
      </w:r>
    </w:p>
    <w:p>
      <w:pPr>
        <w:spacing w:line="380" w:lineRule="exact"/>
        <w:ind w:firstLine="420" w:firstLineChars="200"/>
        <w:rPr>
          <w:rFonts w:ascii="宋体" w:hAnsi="宋体" w:eastAsia="宋体" w:cs="宋体"/>
          <w:color w:val="000000"/>
          <w:highlight w:val="none"/>
        </w:rPr>
      </w:pPr>
      <w:r>
        <w:rPr>
          <w:rFonts w:hint="eastAsia" w:ascii="宋体" w:hAnsi="宋体" w:eastAsia="宋体" w:cs="宋体"/>
          <w:color w:val="000000"/>
          <w:highlight w:val="none"/>
        </w:rPr>
        <w:t>根据专业就业岗位和人才培养方案进程表，结合创新创业教育组织实施本专业教学活动，通过专业教学活动提升学生的职业素养和职业能力。</w:t>
      </w:r>
    </w:p>
    <w:p>
      <w:pPr>
        <w:spacing w:line="380" w:lineRule="exact"/>
        <w:ind w:firstLine="420" w:firstLineChars="200"/>
        <w:rPr>
          <w:rFonts w:ascii="Arial" w:hAnsi="Arial" w:eastAsia="宋体" w:cs="Arial"/>
          <w:color w:val="000000"/>
          <w:highlight w:val="none"/>
        </w:rPr>
      </w:pPr>
      <w:r>
        <w:rPr>
          <w:rFonts w:hint="eastAsia" w:ascii="宋体" w:hAnsi="宋体" w:eastAsia="宋体" w:cs="宋体"/>
          <w:color w:val="000000"/>
          <w:highlight w:val="none"/>
        </w:rPr>
        <w:t>对本专业学生专业知识的教学和创新创业活动分成三个阶段完成，由本系和教务处、继续</w:t>
      </w:r>
      <w:r>
        <w:rPr>
          <w:rFonts w:hint="eastAsia" w:ascii="宋体" w:hAnsi="宋体" w:eastAsia="宋体" w:cs="Times New Roman"/>
          <w:color w:val="000000"/>
          <w:highlight w:val="none"/>
        </w:rPr>
        <w:t>教育处、党办﹒宣传部、就业处等部门协同组织在校内和校外实施。其中，第一阶段，主要是</w:t>
      </w:r>
      <w:r>
        <w:rPr>
          <w:rFonts w:hint="eastAsia" w:ascii="宋体" w:hAnsi="宋体" w:eastAsia="宋体" w:cs="宋体"/>
          <w:color w:val="000000"/>
          <w:highlight w:val="none"/>
        </w:rPr>
        <w:t>本专业新同学对物联网专业群及信息安全技术专业进行一个全面的认知阶段；第二阶段，主要针对就业岗位进行专业素养和专业技能教学；第三阶段，主要是本专业毕业教育阶段。</w:t>
      </w:r>
      <w:r>
        <w:rPr>
          <w:rFonts w:hint="eastAsia" w:ascii="Arial" w:hAnsi="Arial" w:eastAsia="宋体" w:cs="Arial"/>
          <w:color w:val="000000"/>
          <w:highlight w:val="none"/>
        </w:rPr>
        <w:t>根据专业就业岗位和人才培养方案进程表，结合创新创业教育组织实施本专业教学活动，通过专业教学活动提升学生的职业素养和职业能力。</w:t>
      </w:r>
    </w:p>
    <w:p>
      <w:pPr>
        <w:spacing w:line="380" w:lineRule="exact"/>
        <w:ind w:firstLine="420" w:firstLineChars="200"/>
        <w:rPr>
          <w:rFonts w:ascii="Arial" w:hAnsi="Arial" w:eastAsia="宋体" w:cs="Arial"/>
          <w:color w:val="000000"/>
          <w:highlight w:val="none"/>
        </w:rPr>
      </w:pPr>
      <w:r>
        <w:rPr>
          <w:rFonts w:hint="eastAsia" w:ascii="Arial" w:hAnsi="Arial" w:eastAsia="宋体" w:cs="Arial"/>
          <w:color w:val="000000"/>
          <w:highlight w:val="none"/>
        </w:rPr>
        <w:t>对本专业学生专业知识的教学和创新创业活动分成三个阶段完成，由本系和教务处、继续</w:t>
      </w:r>
      <w:r>
        <w:rPr>
          <w:rFonts w:hint="eastAsia" w:ascii="Arial" w:hAnsi="Arial" w:eastAsia="宋体" w:cs="Times New Roman"/>
          <w:color w:val="000000"/>
          <w:highlight w:val="none"/>
        </w:rPr>
        <w:t>教育处、党办﹒宣传部、就业处等部门协同组织在校内和校外实施。其中，第一阶段，主要是</w:t>
      </w:r>
      <w:r>
        <w:rPr>
          <w:rFonts w:hint="eastAsia" w:ascii="Arial" w:hAnsi="Arial" w:eastAsia="宋体" w:cs="Arial"/>
          <w:color w:val="000000"/>
          <w:highlight w:val="none"/>
        </w:rPr>
        <w:t>本专业新同学对物联网专业群及信息安全与管理专业进行一个全面的认知阶段；第二阶段，主要针对就业岗位进行专业素养和专业技能教学；第三阶段，主要是本专业毕业教育阶段。</w:t>
      </w:r>
    </w:p>
    <w:p>
      <w:pPr>
        <w:spacing w:line="380" w:lineRule="exact"/>
        <w:ind w:firstLine="420" w:firstLineChars="200"/>
        <w:rPr>
          <w:rFonts w:ascii="宋体" w:hAnsi="宋体" w:eastAsia="宋体"/>
          <w:szCs w:val="21"/>
          <w:highlight w:val="none"/>
        </w:rPr>
      </w:pPr>
      <w:r>
        <w:rPr>
          <w:rFonts w:hint="eastAsia" w:ascii="Arial" w:hAnsi="Arial" w:eastAsia="宋体" w:cs="Arial"/>
          <w:color w:val="000000"/>
          <w:highlight w:val="none"/>
        </w:rPr>
        <w:t>专业职业能力、素质和创新创业能力教育人组织安排表参见下表：</w:t>
      </w:r>
    </w:p>
    <w:p>
      <w:pPr>
        <w:jc w:val="center"/>
        <w:rPr>
          <w:rFonts w:ascii="宋体" w:hAnsi="宋体" w:eastAsia="宋体" w:cs="Times New Roman"/>
          <w:b/>
          <w:highlight w:val="none"/>
        </w:rPr>
      </w:pPr>
      <w:r>
        <w:rPr>
          <w:rFonts w:hint="eastAsia" w:ascii="宋体" w:hAnsi="宋体" w:eastAsia="宋体" w:cs="Times New Roman"/>
          <w:b/>
          <w:highlight w:val="none"/>
        </w:rPr>
        <w:t>专业职业素质教育教学与创新实践育人组织安排表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134"/>
        <w:gridCol w:w="1134"/>
        <w:gridCol w:w="141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817" w:type="dxa"/>
            <w:vMerge w:val="restart"/>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培养阶段</w:t>
            </w:r>
          </w:p>
        </w:tc>
        <w:tc>
          <w:tcPr>
            <w:tcW w:w="709" w:type="dxa"/>
            <w:vMerge w:val="restart"/>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实施</w:t>
            </w:r>
          </w:p>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学期</w:t>
            </w:r>
          </w:p>
        </w:tc>
        <w:tc>
          <w:tcPr>
            <w:tcW w:w="1701" w:type="dxa"/>
            <w:vMerge w:val="restart"/>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培养与提升内容</w:t>
            </w:r>
          </w:p>
        </w:tc>
        <w:tc>
          <w:tcPr>
            <w:tcW w:w="4961" w:type="dxa"/>
            <w:gridSpan w:val="4"/>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shd w:val="clear" w:color="auto" w:fill="auto"/>
            <w:vAlign w:val="center"/>
          </w:tcPr>
          <w:p>
            <w:pPr>
              <w:jc w:val="center"/>
              <w:rPr>
                <w:rFonts w:ascii="宋体" w:hAnsi="宋体" w:eastAsia="宋体" w:cs="宋体"/>
                <w:color w:val="000000"/>
                <w:szCs w:val="21"/>
                <w:highlight w:val="none"/>
              </w:rPr>
            </w:pPr>
          </w:p>
        </w:tc>
        <w:tc>
          <w:tcPr>
            <w:tcW w:w="709" w:type="dxa"/>
            <w:vMerge w:val="continue"/>
            <w:shd w:val="clear" w:color="auto" w:fill="auto"/>
            <w:vAlign w:val="center"/>
          </w:tcPr>
          <w:p>
            <w:pPr>
              <w:jc w:val="center"/>
              <w:rPr>
                <w:rFonts w:ascii="宋体" w:hAnsi="宋体" w:eastAsia="宋体" w:cs="宋体"/>
                <w:color w:val="000000"/>
                <w:szCs w:val="21"/>
                <w:highlight w:val="none"/>
              </w:rPr>
            </w:pPr>
          </w:p>
        </w:tc>
        <w:tc>
          <w:tcPr>
            <w:tcW w:w="1701" w:type="dxa"/>
            <w:vMerge w:val="continue"/>
            <w:shd w:val="clear" w:color="auto" w:fill="auto"/>
            <w:vAlign w:val="center"/>
          </w:tcPr>
          <w:p>
            <w:pPr>
              <w:jc w:val="center"/>
              <w:rPr>
                <w:rFonts w:ascii="宋体" w:hAnsi="宋体" w:eastAsia="宋体" w:cs="宋体"/>
                <w:color w:val="000000"/>
                <w:szCs w:val="21"/>
                <w:highlight w:val="none"/>
              </w:rPr>
            </w:pPr>
          </w:p>
        </w:tc>
        <w:tc>
          <w:tcPr>
            <w:tcW w:w="1134"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课程教学</w:t>
            </w:r>
          </w:p>
        </w:tc>
        <w:tc>
          <w:tcPr>
            <w:tcW w:w="1134"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实施部门</w:t>
            </w:r>
          </w:p>
        </w:tc>
        <w:tc>
          <w:tcPr>
            <w:tcW w:w="1417"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实践育人</w:t>
            </w:r>
          </w:p>
        </w:tc>
        <w:tc>
          <w:tcPr>
            <w:tcW w:w="1276"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入学适应与职业探索教育阶段</w:t>
            </w:r>
          </w:p>
        </w:tc>
        <w:tc>
          <w:tcPr>
            <w:tcW w:w="709" w:type="dxa"/>
            <w:vMerge w:val="restart"/>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第1学期</w:t>
            </w:r>
          </w:p>
        </w:tc>
        <w:tc>
          <w:tcPr>
            <w:tcW w:w="1701"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信息安全基础</w:t>
            </w:r>
          </w:p>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知识认知</w:t>
            </w:r>
          </w:p>
        </w:tc>
        <w:tc>
          <w:tcPr>
            <w:tcW w:w="1134"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现代密码学</w:t>
            </w:r>
          </w:p>
        </w:tc>
        <w:tc>
          <w:tcPr>
            <w:tcW w:w="1134"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信息技术教研室</w:t>
            </w:r>
          </w:p>
        </w:tc>
        <w:tc>
          <w:tcPr>
            <w:tcW w:w="1417"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模拟操作、真实平台操作</w:t>
            </w:r>
          </w:p>
        </w:tc>
        <w:tc>
          <w:tcPr>
            <w:tcW w:w="1276"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shd w:val="clear" w:color="auto" w:fill="auto"/>
            <w:vAlign w:val="center"/>
          </w:tcPr>
          <w:p>
            <w:pPr>
              <w:jc w:val="center"/>
              <w:rPr>
                <w:rFonts w:ascii="宋体" w:hAnsi="宋体" w:eastAsia="宋体" w:cs="宋体"/>
                <w:color w:val="000000"/>
                <w:szCs w:val="21"/>
                <w:highlight w:val="none"/>
              </w:rPr>
            </w:pPr>
          </w:p>
        </w:tc>
        <w:tc>
          <w:tcPr>
            <w:tcW w:w="709" w:type="dxa"/>
            <w:vMerge w:val="continue"/>
            <w:shd w:val="clear" w:color="auto" w:fill="auto"/>
            <w:vAlign w:val="center"/>
          </w:tcPr>
          <w:p>
            <w:pPr>
              <w:jc w:val="center"/>
              <w:rPr>
                <w:rFonts w:ascii="宋体" w:hAnsi="宋体" w:eastAsia="宋体" w:cs="宋体"/>
                <w:color w:val="000000"/>
                <w:szCs w:val="21"/>
                <w:highlight w:val="none"/>
              </w:rPr>
            </w:pPr>
          </w:p>
        </w:tc>
        <w:tc>
          <w:tcPr>
            <w:tcW w:w="1701"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物联网体系认知</w:t>
            </w:r>
          </w:p>
        </w:tc>
        <w:tc>
          <w:tcPr>
            <w:tcW w:w="1134"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rPr>
              <w:t>物联网入门</w:t>
            </w:r>
          </w:p>
        </w:tc>
        <w:tc>
          <w:tcPr>
            <w:tcW w:w="1134"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物联网专业群</w:t>
            </w:r>
          </w:p>
        </w:tc>
        <w:tc>
          <w:tcPr>
            <w:tcW w:w="1417"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模拟操作、真实平台操作</w:t>
            </w:r>
          </w:p>
        </w:tc>
        <w:tc>
          <w:tcPr>
            <w:tcW w:w="1276"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职前素质提升教育阶段</w:t>
            </w:r>
          </w:p>
        </w:tc>
        <w:tc>
          <w:tcPr>
            <w:tcW w:w="709" w:type="dxa"/>
            <w:vMerge w:val="restart"/>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第2学期至第4学期</w:t>
            </w:r>
          </w:p>
        </w:tc>
        <w:tc>
          <w:tcPr>
            <w:tcW w:w="1701"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网络设备安全管理运维及实操</w:t>
            </w:r>
          </w:p>
        </w:tc>
        <w:tc>
          <w:tcPr>
            <w:tcW w:w="1134" w:type="dxa"/>
            <w:shd w:val="clear" w:color="auto" w:fill="auto"/>
            <w:vAlign w:val="center"/>
          </w:tcPr>
          <w:p>
            <w:pPr>
              <w:widowControl/>
              <w:jc w:val="center"/>
              <w:textAlignment w:val="center"/>
              <w:rPr>
                <w:rFonts w:ascii="宋体" w:hAnsi="宋体" w:eastAsia="宋体" w:cs="Times New Roman"/>
                <w:color w:val="000000"/>
                <w:szCs w:val="21"/>
                <w:highlight w:val="none"/>
              </w:rPr>
            </w:pPr>
            <w:r>
              <w:rPr>
                <w:rFonts w:hint="eastAsia" w:ascii="宋体" w:hAnsi="宋体" w:eastAsia="宋体" w:cs="宋体"/>
                <w:color w:val="000000"/>
                <w:kern w:val="0"/>
                <w:szCs w:val="21"/>
                <w:highlight w:val="none"/>
                <w:lang w:bidi="ar"/>
              </w:rPr>
              <w:t>网络设备安全管理</w:t>
            </w:r>
          </w:p>
        </w:tc>
        <w:tc>
          <w:tcPr>
            <w:tcW w:w="1134"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信息技术教研室</w:t>
            </w:r>
          </w:p>
        </w:tc>
        <w:tc>
          <w:tcPr>
            <w:tcW w:w="1417"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模拟操作、真实平台操作</w:t>
            </w:r>
          </w:p>
        </w:tc>
        <w:tc>
          <w:tcPr>
            <w:tcW w:w="1276" w:type="dxa"/>
            <w:shd w:val="clear" w:color="auto" w:fill="auto"/>
          </w:tcPr>
          <w:p>
            <w:pPr>
              <w:rPr>
                <w:rFonts w:ascii="宋体" w:hAnsi="宋体" w:eastAsia="宋体" w:cs="Times New Roman"/>
                <w:color w:val="000000"/>
                <w:szCs w:val="21"/>
                <w:highlight w:val="none"/>
              </w:rPr>
            </w:pPr>
            <w:r>
              <w:rPr>
                <w:rFonts w:hint="eastAsia" w:ascii="宋体" w:hAnsi="宋体" w:eastAsia="宋体" w:cs="宋体"/>
                <w:color w:val="000000"/>
                <w:szCs w:val="21"/>
                <w:highlight w:val="none"/>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shd w:val="clear" w:color="auto" w:fill="auto"/>
            <w:vAlign w:val="center"/>
          </w:tcPr>
          <w:p>
            <w:pPr>
              <w:jc w:val="center"/>
              <w:rPr>
                <w:rFonts w:ascii="宋体" w:hAnsi="宋体" w:eastAsia="宋体" w:cs="宋体"/>
                <w:color w:val="000000"/>
                <w:szCs w:val="21"/>
                <w:highlight w:val="none"/>
              </w:rPr>
            </w:pPr>
          </w:p>
        </w:tc>
        <w:tc>
          <w:tcPr>
            <w:tcW w:w="709" w:type="dxa"/>
            <w:vMerge w:val="continue"/>
            <w:shd w:val="clear" w:color="auto" w:fill="auto"/>
            <w:vAlign w:val="center"/>
          </w:tcPr>
          <w:p>
            <w:pPr>
              <w:jc w:val="center"/>
              <w:rPr>
                <w:rFonts w:ascii="宋体" w:hAnsi="宋体" w:eastAsia="宋体" w:cs="宋体"/>
                <w:color w:val="000000"/>
                <w:szCs w:val="21"/>
                <w:highlight w:val="none"/>
              </w:rPr>
            </w:pPr>
          </w:p>
        </w:tc>
        <w:tc>
          <w:tcPr>
            <w:tcW w:w="1701"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入侵检测部署和维护能力</w:t>
            </w:r>
          </w:p>
        </w:tc>
        <w:tc>
          <w:tcPr>
            <w:tcW w:w="1134" w:type="dxa"/>
            <w:shd w:val="clear" w:color="auto" w:fill="auto"/>
            <w:vAlign w:val="center"/>
          </w:tcPr>
          <w:p>
            <w:pPr>
              <w:widowControl/>
              <w:jc w:val="center"/>
              <w:textAlignment w:val="center"/>
              <w:rPr>
                <w:rFonts w:ascii="宋体" w:hAnsi="宋体" w:eastAsia="宋体" w:cs="Times New Roman"/>
                <w:color w:val="000000"/>
                <w:szCs w:val="21"/>
                <w:highlight w:val="none"/>
              </w:rPr>
            </w:pPr>
            <w:r>
              <w:rPr>
                <w:rFonts w:hint="eastAsia" w:ascii="宋体" w:hAnsi="宋体" w:eastAsia="宋体" w:cs="宋体"/>
                <w:color w:val="000000"/>
                <w:kern w:val="0"/>
                <w:szCs w:val="21"/>
                <w:highlight w:val="none"/>
                <w:lang w:bidi="ar"/>
              </w:rPr>
              <w:t>入侵检测与VPN技术</w:t>
            </w:r>
          </w:p>
        </w:tc>
        <w:tc>
          <w:tcPr>
            <w:tcW w:w="1134"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信息技术教研室</w:t>
            </w:r>
          </w:p>
        </w:tc>
        <w:tc>
          <w:tcPr>
            <w:tcW w:w="1417"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模拟操作、真实平台操作</w:t>
            </w:r>
          </w:p>
        </w:tc>
        <w:tc>
          <w:tcPr>
            <w:tcW w:w="1276" w:type="dxa"/>
            <w:shd w:val="clear" w:color="auto" w:fill="auto"/>
          </w:tcPr>
          <w:p>
            <w:pPr>
              <w:rPr>
                <w:rFonts w:ascii="宋体" w:hAnsi="宋体" w:eastAsia="宋体" w:cs="Times New Roman"/>
                <w:color w:val="000000"/>
                <w:szCs w:val="21"/>
                <w:highlight w:val="none"/>
              </w:rPr>
            </w:pPr>
            <w:r>
              <w:rPr>
                <w:rFonts w:hint="eastAsia" w:ascii="宋体" w:hAnsi="宋体" w:eastAsia="宋体" w:cs="宋体"/>
                <w:color w:val="000000"/>
                <w:szCs w:val="21"/>
                <w:highlight w:val="none"/>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shd w:val="clear" w:color="auto" w:fill="auto"/>
            <w:vAlign w:val="center"/>
          </w:tcPr>
          <w:p>
            <w:pPr>
              <w:jc w:val="center"/>
              <w:rPr>
                <w:rFonts w:ascii="宋体" w:hAnsi="宋体" w:eastAsia="宋体" w:cs="宋体"/>
                <w:color w:val="000000"/>
                <w:szCs w:val="21"/>
                <w:highlight w:val="none"/>
              </w:rPr>
            </w:pPr>
          </w:p>
        </w:tc>
        <w:tc>
          <w:tcPr>
            <w:tcW w:w="709" w:type="dxa"/>
            <w:vMerge w:val="continue"/>
            <w:shd w:val="clear" w:color="auto" w:fill="auto"/>
            <w:vAlign w:val="center"/>
          </w:tcPr>
          <w:p>
            <w:pPr>
              <w:jc w:val="center"/>
              <w:rPr>
                <w:rFonts w:ascii="宋体" w:hAnsi="宋体" w:eastAsia="宋体" w:cs="宋体"/>
                <w:color w:val="000000"/>
                <w:szCs w:val="21"/>
                <w:highlight w:val="none"/>
              </w:rPr>
            </w:pPr>
          </w:p>
        </w:tc>
        <w:tc>
          <w:tcPr>
            <w:tcW w:w="1701"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网站安全运维应用能力</w:t>
            </w:r>
          </w:p>
        </w:tc>
        <w:tc>
          <w:tcPr>
            <w:tcW w:w="1134" w:type="dxa"/>
            <w:shd w:val="clear" w:color="auto" w:fill="auto"/>
            <w:vAlign w:val="center"/>
          </w:tcPr>
          <w:p>
            <w:pPr>
              <w:widowControl/>
              <w:jc w:val="center"/>
              <w:textAlignment w:val="center"/>
              <w:rPr>
                <w:rFonts w:ascii="宋体" w:hAnsi="宋体" w:eastAsia="宋体" w:cs="Times New Roman"/>
                <w:color w:val="000000"/>
                <w:szCs w:val="21"/>
                <w:highlight w:val="none"/>
              </w:rPr>
            </w:pPr>
            <w:r>
              <w:rPr>
                <w:rFonts w:hint="eastAsia" w:ascii="宋体" w:hAnsi="宋体" w:eastAsia="宋体" w:cs="宋体"/>
                <w:color w:val="000000"/>
                <w:kern w:val="0"/>
                <w:szCs w:val="21"/>
                <w:highlight w:val="none"/>
                <w:lang w:bidi="ar"/>
              </w:rPr>
              <w:t>Web开发及安全管理技术</w:t>
            </w:r>
          </w:p>
        </w:tc>
        <w:tc>
          <w:tcPr>
            <w:tcW w:w="1134"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信息技术教研室</w:t>
            </w:r>
          </w:p>
        </w:tc>
        <w:tc>
          <w:tcPr>
            <w:tcW w:w="1417"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模拟操作、真实平台操作</w:t>
            </w:r>
          </w:p>
        </w:tc>
        <w:tc>
          <w:tcPr>
            <w:tcW w:w="1276" w:type="dxa"/>
            <w:shd w:val="clear" w:color="auto" w:fill="auto"/>
          </w:tcPr>
          <w:p>
            <w:pPr>
              <w:rPr>
                <w:rFonts w:ascii="宋体" w:hAnsi="宋体" w:eastAsia="宋体" w:cs="Times New Roman"/>
                <w:color w:val="000000"/>
                <w:szCs w:val="21"/>
                <w:highlight w:val="none"/>
              </w:rPr>
            </w:pPr>
            <w:r>
              <w:rPr>
                <w:rFonts w:hint="eastAsia" w:ascii="宋体" w:hAnsi="宋体" w:eastAsia="宋体" w:cs="宋体"/>
                <w:color w:val="000000"/>
                <w:szCs w:val="21"/>
                <w:highlight w:val="none"/>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shd w:val="clear" w:color="auto" w:fill="auto"/>
            <w:vAlign w:val="center"/>
          </w:tcPr>
          <w:p>
            <w:pPr>
              <w:jc w:val="center"/>
              <w:rPr>
                <w:rFonts w:ascii="宋体" w:hAnsi="宋体" w:eastAsia="宋体" w:cs="宋体"/>
                <w:color w:val="000000"/>
                <w:szCs w:val="21"/>
                <w:highlight w:val="none"/>
              </w:rPr>
            </w:pPr>
          </w:p>
        </w:tc>
        <w:tc>
          <w:tcPr>
            <w:tcW w:w="709" w:type="dxa"/>
            <w:vMerge w:val="continue"/>
            <w:shd w:val="clear" w:color="auto" w:fill="auto"/>
            <w:vAlign w:val="center"/>
          </w:tcPr>
          <w:p>
            <w:pPr>
              <w:jc w:val="center"/>
              <w:rPr>
                <w:rFonts w:ascii="宋体" w:hAnsi="宋体" w:eastAsia="宋体" w:cs="宋体"/>
                <w:color w:val="000000"/>
                <w:szCs w:val="21"/>
                <w:highlight w:val="none"/>
              </w:rPr>
            </w:pPr>
          </w:p>
        </w:tc>
        <w:tc>
          <w:tcPr>
            <w:tcW w:w="1701"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多系统安全配置应用能力</w:t>
            </w:r>
          </w:p>
        </w:tc>
        <w:tc>
          <w:tcPr>
            <w:tcW w:w="1134" w:type="dxa"/>
            <w:shd w:val="clear" w:color="auto" w:fill="auto"/>
            <w:vAlign w:val="center"/>
          </w:tcPr>
          <w:p>
            <w:pPr>
              <w:widowControl/>
              <w:jc w:val="center"/>
              <w:textAlignment w:val="center"/>
              <w:rPr>
                <w:rFonts w:ascii="宋体" w:hAnsi="宋体" w:eastAsia="宋体" w:cs="Times New Roman"/>
                <w:color w:val="000000"/>
                <w:szCs w:val="21"/>
                <w:highlight w:val="none"/>
              </w:rPr>
            </w:pPr>
            <w:r>
              <w:rPr>
                <w:rFonts w:hint="eastAsia" w:ascii="宋体" w:hAnsi="宋体" w:eastAsia="宋体" w:cs="宋体"/>
                <w:color w:val="000000"/>
                <w:kern w:val="0"/>
                <w:szCs w:val="21"/>
                <w:highlight w:val="none"/>
                <w:lang w:bidi="ar"/>
              </w:rPr>
              <w:t>网络操作系统</w:t>
            </w:r>
          </w:p>
        </w:tc>
        <w:tc>
          <w:tcPr>
            <w:tcW w:w="1134"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信息技术教研室</w:t>
            </w:r>
          </w:p>
        </w:tc>
        <w:tc>
          <w:tcPr>
            <w:tcW w:w="1417"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模拟操作、真实平台操作</w:t>
            </w:r>
          </w:p>
        </w:tc>
        <w:tc>
          <w:tcPr>
            <w:tcW w:w="1276" w:type="dxa"/>
            <w:shd w:val="clear" w:color="auto" w:fill="auto"/>
          </w:tcPr>
          <w:p>
            <w:pPr>
              <w:rPr>
                <w:rFonts w:ascii="宋体" w:hAnsi="宋体" w:eastAsia="宋体" w:cs="Times New Roman"/>
                <w:color w:val="000000"/>
                <w:szCs w:val="21"/>
                <w:highlight w:val="none"/>
              </w:rPr>
            </w:pPr>
            <w:r>
              <w:rPr>
                <w:rFonts w:hint="eastAsia" w:ascii="宋体" w:hAnsi="宋体" w:eastAsia="宋体" w:cs="宋体"/>
                <w:color w:val="000000"/>
                <w:szCs w:val="21"/>
                <w:highlight w:val="none"/>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shd w:val="clear" w:color="auto" w:fill="auto"/>
            <w:vAlign w:val="center"/>
          </w:tcPr>
          <w:p>
            <w:pPr>
              <w:jc w:val="center"/>
              <w:rPr>
                <w:rFonts w:ascii="宋体" w:hAnsi="宋体" w:eastAsia="宋体" w:cs="宋体"/>
                <w:color w:val="000000"/>
                <w:szCs w:val="21"/>
                <w:highlight w:val="none"/>
              </w:rPr>
            </w:pPr>
          </w:p>
        </w:tc>
        <w:tc>
          <w:tcPr>
            <w:tcW w:w="709" w:type="dxa"/>
            <w:vMerge w:val="continue"/>
            <w:shd w:val="clear" w:color="auto" w:fill="auto"/>
            <w:vAlign w:val="center"/>
          </w:tcPr>
          <w:p>
            <w:pPr>
              <w:jc w:val="center"/>
              <w:rPr>
                <w:rFonts w:ascii="宋体" w:hAnsi="宋体" w:eastAsia="宋体" w:cs="宋体"/>
                <w:color w:val="000000"/>
                <w:szCs w:val="21"/>
                <w:highlight w:val="none"/>
              </w:rPr>
            </w:pPr>
          </w:p>
        </w:tc>
        <w:tc>
          <w:tcPr>
            <w:tcW w:w="1701"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自动化安全运维能力</w:t>
            </w:r>
          </w:p>
        </w:tc>
        <w:tc>
          <w:tcPr>
            <w:tcW w:w="1134" w:type="dxa"/>
            <w:shd w:val="clear" w:color="auto" w:fill="auto"/>
            <w:vAlign w:val="center"/>
          </w:tcPr>
          <w:p>
            <w:pPr>
              <w:widowControl/>
              <w:jc w:val="center"/>
              <w:textAlignment w:val="center"/>
              <w:rPr>
                <w:rFonts w:ascii="宋体" w:hAnsi="宋体" w:eastAsia="宋体" w:cs="Times New Roman"/>
                <w:color w:val="000000"/>
                <w:szCs w:val="21"/>
                <w:highlight w:val="none"/>
              </w:rPr>
            </w:pPr>
            <w:r>
              <w:rPr>
                <w:rFonts w:ascii="宋体" w:hAnsi="宋体" w:eastAsia="宋体" w:cs="宋体"/>
                <w:color w:val="000000"/>
                <w:kern w:val="0"/>
                <w:szCs w:val="21"/>
                <w:highlight w:val="none"/>
                <w:lang w:bidi="ar"/>
              </w:rPr>
              <w:t>P</w:t>
            </w:r>
            <w:r>
              <w:rPr>
                <w:rFonts w:hint="eastAsia" w:ascii="宋体" w:hAnsi="宋体" w:eastAsia="宋体" w:cs="宋体"/>
                <w:color w:val="000000"/>
                <w:kern w:val="0"/>
                <w:szCs w:val="21"/>
                <w:highlight w:val="none"/>
                <w:lang w:bidi="ar"/>
              </w:rPr>
              <w:t>ython程序设计</w:t>
            </w:r>
          </w:p>
        </w:tc>
        <w:tc>
          <w:tcPr>
            <w:tcW w:w="1134"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物联网专业群</w:t>
            </w:r>
          </w:p>
        </w:tc>
        <w:tc>
          <w:tcPr>
            <w:tcW w:w="1417"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模拟操作、创业实践活动、专题讲座等</w:t>
            </w:r>
          </w:p>
        </w:tc>
        <w:tc>
          <w:tcPr>
            <w:tcW w:w="1276" w:type="dxa"/>
            <w:shd w:val="clear" w:color="auto" w:fill="auto"/>
          </w:tcPr>
          <w:p>
            <w:pPr>
              <w:rPr>
                <w:rFonts w:ascii="宋体" w:hAnsi="宋体" w:eastAsia="宋体" w:cs="Times New Roman"/>
                <w:color w:val="000000"/>
                <w:szCs w:val="21"/>
                <w:highlight w:val="none"/>
              </w:rPr>
            </w:pPr>
            <w:r>
              <w:rPr>
                <w:rFonts w:hint="eastAsia" w:ascii="宋体" w:hAnsi="宋体" w:eastAsia="宋体" w:cs="宋体"/>
                <w:color w:val="000000"/>
                <w:szCs w:val="21"/>
                <w:highlight w:val="none"/>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shd w:val="clear" w:color="auto" w:fill="auto"/>
            <w:vAlign w:val="center"/>
          </w:tcPr>
          <w:p>
            <w:pPr>
              <w:jc w:val="center"/>
              <w:rPr>
                <w:rFonts w:ascii="宋体" w:hAnsi="宋体" w:eastAsia="宋体" w:cs="宋体"/>
                <w:color w:val="000000"/>
                <w:szCs w:val="21"/>
                <w:highlight w:val="none"/>
              </w:rPr>
            </w:pPr>
          </w:p>
        </w:tc>
        <w:tc>
          <w:tcPr>
            <w:tcW w:w="709" w:type="dxa"/>
            <w:vMerge w:val="continue"/>
            <w:shd w:val="clear" w:color="auto" w:fill="auto"/>
            <w:vAlign w:val="center"/>
          </w:tcPr>
          <w:p>
            <w:pPr>
              <w:jc w:val="center"/>
              <w:rPr>
                <w:rFonts w:ascii="宋体" w:hAnsi="宋体" w:eastAsia="宋体" w:cs="宋体"/>
                <w:color w:val="000000"/>
                <w:szCs w:val="21"/>
                <w:highlight w:val="none"/>
              </w:rPr>
            </w:pPr>
          </w:p>
        </w:tc>
        <w:tc>
          <w:tcPr>
            <w:tcW w:w="1701"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漏洞扫描应用能力</w:t>
            </w:r>
          </w:p>
        </w:tc>
        <w:tc>
          <w:tcPr>
            <w:tcW w:w="1134" w:type="dxa"/>
            <w:shd w:val="clear" w:color="auto" w:fill="auto"/>
            <w:vAlign w:val="center"/>
          </w:tcPr>
          <w:p>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漏洞扫描与防护</w:t>
            </w:r>
          </w:p>
        </w:tc>
        <w:tc>
          <w:tcPr>
            <w:tcW w:w="1134"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信息技术教研室</w:t>
            </w:r>
          </w:p>
        </w:tc>
        <w:tc>
          <w:tcPr>
            <w:tcW w:w="1417"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模拟操作、真实平台操作</w:t>
            </w:r>
          </w:p>
        </w:tc>
        <w:tc>
          <w:tcPr>
            <w:tcW w:w="1276" w:type="dxa"/>
            <w:shd w:val="clear" w:color="auto" w:fill="auto"/>
          </w:tcPr>
          <w:p>
            <w:pPr>
              <w:rPr>
                <w:rFonts w:ascii="宋体" w:hAnsi="宋体" w:eastAsia="宋体" w:cs="宋体"/>
                <w:color w:val="000000"/>
                <w:szCs w:val="21"/>
                <w:highlight w:val="none"/>
              </w:rPr>
            </w:pPr>
            <w:r>
              <w:rPr>
                <w:rFonts w:hint="eastAsia" w:ascii="宋体" w:hAnsi="宋体" w:eastAsia="宋体" w:cs="宋体"/>
                <w:color w:val="000000"/>
                <w:szCs w:val="21"/>
                <w:highlight w:val="none"/>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shd w:val="clear" w:color="auto" w:fill="auto"/>
            <w:vAlign w:val="center"/>
          </w:tcPr>
          <w:p>
            <w:pPr>
              <w:jc w:val="center"/>
              <w:rPr>
                <w:rFonts w:ascii="宋体" w:hAnsi="宋体" w:eastAsia="宋体" w:cs="宋体"/>
                <w:color w:val="000000"/>
                <w:szCs w:val="21"/>
                <w:highlight w:val="none"/>
              </w:rPr>
            </w:pPr>
          </w:p>
        </w:tc>
        <w:tc>
          <w:tcPr>
            <w:tcW w:w="709" w:type="dxa"/>
            <w:vMerge w:val="continue"/>
            <w:shd w:val="clear" w:color="auto" w:fill="auto"/>
            <w:vAlign w:val="center"/>
          </w:tcPr>
          <w:p>
            <w:pPr>
              <w:jc w:val="center"/>
              <w:rPr>
                <w:rFonts w:ascii="宋体" w:hAnsi="宋体" w:eastAsia="宋体" w:cs="宋体"/>
                <w:color w:val="000000"/>
                <w:szCs w:val="21"/>
                <w:highlight w:val="none"/>
              </w:rPr>
            </w:pPr>
          </w:p>
        </w:tc>
        <w:tc>
          <w:tcPr>
            <w:tcW w:w="1701"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信息安全等级保护基础实施能力</w:t>
            </w:r>
          </w:p>
        </w:tc>
        <w:tc>
          <w:tcPr>
            <w:tcW w:w="1134" w:type="dxa"/>
            <w:shd w:val="clear" w:color="auto" w:fill="auto"/>
            <w:vAlign w:val="center"/>
          </w:tcPr>
          <w:p>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信息安全等级保护</w:t>
            </w:r>
          </w:p>
        </w:tc>
        <w:tc>
          <w:tcPr>
            <w:tcW w:w="1134"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信息技术教研室</w:t>
            </w:r>
          </w:p>
        </w:tc>
        <w:tc>
          <w:tcPr>
            <w:tcW w:w="1417"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模拟操作、真实平台操作、专题讲座等</w:t>
            </w:r>
          </w:p>
        </w:tc>
        <w:tc>
          <w:tcPr>
            <w:tcW w:w="1276" w:type="dxa"/>
            <w:shd w:val="clear" w:color="auto" w:fill="auto"/>
          </w:tcPr>
          <w:p>
            <w:pPr>
              <w:rPr>
                <w:rFonts w:ascii="宋体" w:hAnsi="宋体" w:eastAsia="宋体" w:cs="宋体"/>
                <w:color w:val="000000"/>
                <w:szCs w:val="21"/>
                <w:highlight w:val="none"/>
              </w:rPr>
            </w:pPr>
            <w:r>
              <w:rPr>
                <w:rFonts w:hint="eastAsia" w:ascii="宋体" w:hAnsi="宋体" w:eastAsia="宋体" w:cs="宋体"/>
                <w:color w:val="000000"/>
                <w:szCs w:val="21"/>
                <w:highlight w:val="none"/>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shd w:val="clear" w:color="auto" w:fill="auto"/>
            <w:vAlign w:val="center"/>
          </w:tcPr>
          <w:p>
            <w:pPr>
              <w:jc w:val="center"/>
              <w:rPr>
                <w:rFonts w:ascii="宋体" w:hAnsi="宋体" w:eastAsia="宋体" w:cs="宋体"/>
                <w:color w:val="000000"/>
                <w:szCs w:val="21"/>
                <w:highlight w:val="none"/>
              </w:rPr>
            </w:pPr>
          </w:p>
        </w:tc>
        <w:tc>
          <w:tcPr>
            <w:tcW w:w="709" w:type="dxa"/>
            <w:vMerge w:val="continue"/>
            <w:shd w:val="clear" w:color="auto" w:fill="auto"/>
            <w:vAlign w:val="center"/>
          </w:tcPr>
          <w:p>
            <w:pPr>
              <w:jc w:val="center"/>
              <w:rPr>
                <w:rFonts w:ascii="宋体" w:hAnsi="宋体" w:eastAsia="宋体" w:cs="宋体"/>
                <w:color w:val="000000"/>
                <w:szCs w:val="21"/>
                <w:highlight w:val="none"/>
              </w:rPr>
            </w:pPr>
          </w:p>
        </w:tc>
        <w:tc>
          <w:tcPr>
            <w:tcW w:w="1701"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数据库查询、管理、维护应用能力</w:t>
            </w:r>
          </w:p>
        </w:tc>
        <w:tc>
          <w:tcPr>
            <w:tcW w:w="1134" w:type="dxa"/>
            <w:shd w:val="clear" w:color="auto" w:fill="auto"/>
            <w:vAlign w:val="center"/>
          </w:tcPr>
          <w:p>
            <w:pPr>
              <w:widowControl/>
              <w:jc w:val="center"/>
              <w:textAlignment w:val="center"/>
              <w:rPr>
                <w:rFonts w:ascii="宋体" w:hAnsi="宋体" w:eastAsia="宋体" w:cs="Times New Roman"/>
                <w:color w:val="000000"/>
                <w:szCs w:val="21"/>
                <w:highlight w:val="none"/>
              </w:rPr>
            </w:pPr>
            <w:r>
              <w:rPr>
                <w:rFonts w:hint="eastAsia" w:ascii="宋体" w:hAnsi="宋体" w:eastAsia="宋体" w:cs="宋体"/>
                <w:color w:val="000000"/>
                <w:kern w:val="0"/>
                <w:szCs w:val="21"/>
                <w:highlight w:val="none"/>
                <w:lang w:bidi="ar"/>
              </w:rPr>
              <w:t>数据库技术</w:t>
            </w:r>
          </w:p>
        </w:tc>
        <w:tc>
          <w:tcPr>
            <w:tcW w:w="1134"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物联网专业群</w:t>
            </w:r>
          </w:p>
        </w:tc>
        <w:tc>
          <w:tcPr>
            <w:tcW w:w="1417"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模拟操作、真实平台操作</w:t>
            </w:r>
          </w:p>
        </w:tc>
        <w:tc>
          <w:tcPr>
            <w:tcW w:w="1276"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毕业教育阶段</w:t>
            </w:r>
          </w:p>
        </w:tc>
        <w:tc>
          <w:tcPr>
            <w:tcW w:w="709" w:type="dxa"/>
            <w:vMerge w:val="restart"/>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第5学期至第6学期</w:t>
            </w:r>
          </w:p>
        </w:tc>
        <w:tc>
          <w:tcPr>
            <w:tcW w:w="1701"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基本编程能力</w:t>
            </w:r>
          </w:p>
        </w:tc>
        <w:tc>
          <w:tcPr>
            <w:tcW w:w="1134" w:type="dxa"/>
            <w:shd w:val="clear" w:color="auto" w:fill="auto"/>
            <w:vAlign w:val="center"/>
          </w:tcPr>
          <w:p>
            <w:pPr>
              <w:spacing w:line="280" w:lineRule="exact"/>
              <w:jc w:val="center"/>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JAVA程序设计</w:t>
            </w:r>
          </w:p>
        </w:tc>
        <w:tc>
          <w:tcPr>
            <w:tcW w:w="1134"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物联网专业群</w:t>
            </w:r>
          </w:p>
        </w:tc>
        <w:tc>
          <w:tcPr>
            <w:tcW w:w="1417"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真实平台操作</w:t>
            </w:r>
          </w:p>
        </w:tc>
        <w:tc>
          <w:tcPr>
            <w:tcW w:w="1276" w:type="dxa"/>
            <w:shd w:val="clear" w:color="auto" w:fill="auto"/>
          </w:tcPr>
          <w:p>
            <w:pPr>
              <w:rPr>
                <w:rFonts w:ascii="宋体" w:hAnsi="宋体" w:eastAsia="宋体" w:cs="宋体"/>
                <w:color w:val="000000"/>
                <w:szCs w:val="21"/>
                <w:highlight w:val="none"/>
              </w:rPr>
            </w:pPr>
            <w:r>
              <w:rPr>
                <w:rFonts w:hint="eastAsia" w:ascii="宋体" w:hAnsi="宋体" w:eastAsia="宋体" w:cs="宋体"/>
                <w:color w:val="000000"/>
                <w:szCs w:val="21"/>
                <w:highlight w:val="none"/>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shd w:val="clear" w:color="auto" w:fill="auto"/>
            <w:vAlign w:val="center"/>
          </w:tcPr>
          <w:p>
            <w:pPr>
              <w:jc w:val="center"/>
              <w:rPr>
                <w:rFonts w:ascii="宋体" w:hAnsi="宋体" w:eastAsia="宋体" w:cs="宋体"/>
                <w:color w:val="000000"/>
                <w:szCs w:val="21"/>
                <w:highlight w:val="none"/>
              </w:rPr>
            </w:pPr>
          </w:p>
        </w:tc>
        <w:tc>
          <w:tcPr>
            <w:tcW w:w="709" w:type="dxa"/>
            <w:vMerge w:val="continue"/>
            <w:shd w:val="clear" w:color="auto" w:fill="auto"/>
            <w:vAlign w:val="center"/>
          </w:tcPr>
          <w:p>
            <w:pPr>
              <w:jc w:val="center"/>
              <w:rPr>
                <w:rFonts w:ascii="宋体" w:hAnsi="宋体" w:eastAsia="宋体" w:cs="宋体"/>
                <w:color w:val="000000"/>
                <w:szCs w:val="21"/>
                <w:highlight w:val="none"/>
              </w:rPr>
            </w:pPr>
          </w:p>
        </w:tc>
        <w:tc>
          <w:tcPr>
            <w:tcW w:w="1701"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网络攻防综合实践应用能力</w:t>
            </w:r>
          </w:p>
        </w:tc>
        <w:tc>
          <w:tcPr>
            <w:tcW w:w="1134" w:type="dxa"/>
            <w:shd w:val="clear" w:color="auto" w:fill="auto"/>
            <w:vAlign w:val="center"/>
          </w:tcPr>
          <w:p>
            <w:pPr>
              <w:spacing w:line="280" w:lineRule="exact"/>
              <w:jc w:val="center"/>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网络攻防技术</w:t>
            </w:r>
          </w:p>
        </w:tc>
        <w:tc>
          <w:tcPr>
            <w:tcW w:w="1134"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信息技术教研室</w:t>
            </w:r>
          </w:p>
        </w:tc>
        <w:tc>
          <w:tcPr>
            <w:tcW w:w="1417"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模拟操作、真实平台操作、专题讲座等</w:t>
            </w:r>
          </w:p>
        </w:tc>
        <w:tc>
          <w:tcPr>
            <w:tcW w:w="1276"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817" w:type="dxa"/>
            <w:vMerge w:val="continue"/>
            <w:shd w:val="clear" w:color="auto" w:fill="auto"/>
            <w:vAlign w:val="center"/>
          </w:tcPr>
          <w:p>
            <w:pPr>
              <w:jc w:val="center"/>
              <w:rPr>
                <w:rFonts w:ascii="宋体" w:hAnsi="宋体" w:eastAsia="宋体" w:cs="宋体"/>
                <w:color w:val="000000"/>
                <w:szCs w:val="21"/>
                <w:highlight w:val="none"/>
              </w:rPr>
            </w:pPr>
          </w:p>
        </w:tc>
        <w:tc>
          <w:tcPr>
            <w:tcW w:w="709" w:type="dxa"/>
            <w:vMerge w:val="continue"/>
            <w:shd w:val="clear" w:color="auto" w:fill="auto"/>
            <w:vAlign w:val="center"/>
          </w:tcPr>
          <w:p>
            <w:pPr>
              <w:jc w:val="center"/>
              <w:rPr>
                <w:rFonts w:ascii="宋体" w:hAnsi="宋体" w:eastAsia="宋体" w:cs="宋体"/>
                <w:color w:val="000000"/>
                <w:szCs w:val="21"/>
                <w:highlight w:val="none"/>
              </w:rPr>
            </w:pPr>
          </w:p>
        </w:tc>
        <w:tc>
          <w:tcPr>
            <w:tcW w:w="1701"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网络设备运维能力</w:t>
            </w:r>
          </w:p>
        </w:tc>
        <w:tc>
          <w:tcPr>
            <w:tcW w:w="1134" w:type="dxa"/>
            <w:shd w:val="clear" w:color="auto" w:fill="auto"/>
            <w:vAlign w:val="center"/>
          </w:tcPr>
          <w:p>
            <w:pPr>
              <w:spacing w:line="28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网络设备配置与管理</w:t>
            </w:r>
          </w:p>
        </w:tc>
        <w:tc>
          <w:tcPr>
            <w:tcW w:w="1134"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物联网专业群</w:t>
            </w:r>
          </w:p>
        </w:tc>
        <w:tc>
          <w:tcPr>
            <w:tcW w:w="1417"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模拟操作、真实平台操作、专题讲座等</w:t>
            </w:r>
          </w:p>
        </w:tc>
        <w:tc>
          <w:tcPr>
            <w:tcW w:w="1276"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817" w:type="dxa"/>
            <w:vMerge w:val="continue"/>
            <w:shd w:val="clear" w:color="auto" w:fill="auto"/>
            <w:vAlign w:val="center"/>
          </w:tcPr>
          <w:p>
            <w:pPr>
              <w:jc w:val="center"/>
              <w:rPr>
                <w:rFonts w:ascii="宋体" w:hAnsi="宋体" w:eastAsia="宋体" w:cs="宋体"/>
                <w:color w:val="000000"/>
                <w:szCs w:val="21"/>
                <w:highlight w:val="none"/>
              </w:rPr>
            </w:pPr>
          </w:p>
        </w:tc>
        <w:tc>
          <w:tcPr>
            <w:tcW w:w="709" w:type="dxa"/>
            <w:vMerge w:val="continue"/>
            <w:shd w:val="clear" w:color="auto" w:fill="auto"/>
            <w:vAlign w:val="center"/>
          </w:tcPr>
          <w:p>
            <w:pPr>
              <w:jc w:val="center"/>
              <w:rPr>
                <w:rFonts w:ascii="宋体" w:hAnsi="宋体" w:eastAsia="宋体" w:cs="宋体"/>
                <w:color w:val="000000"/>
                <w:szCs w:val="21"/>
                <w:highlight w:val="none"/>
              </w:rPr>
            </w:pPr>
          </w:p>
        </w:tc>
        <w:tc>
          <w:tcPr>
            <w:tcW w:w="1701"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企业岗前适应能力</w:t>
            </w:r>
          </w:p>
        </w:tc>
        <w:tc>
          <w:tcPr>
            <w:tcW w:w="1134" w:type="dxa"/>
            <w:shd w:val="clear" w:color="auto" w:fill="auto"/>
            <w:vAlign w:val="center"/>
          </w:tcPr>
          <w:p>
            <w:pPr>
              <w:spacing w:line="280" w:lineRule="exact"/>
              <w:jc w:val="center"/>
              <w:rPr>
                <w:rFonts w:ascii="宋体" w:hAnsi="宋体" w:eastAsia="宋体" w:cs="宋体"/>
                <w:color w:val="000000"/>
                <w:szCs w:val="21"/>
                <w:highlight w:val="none"/>
              </w:rPr>
            </w:pPr>
            <w:r>
              <w:rPr>
                <w:rFonts w:hint="eastAsia" w:ascii="宋体" w:hAnsi="宋体" w:eastAsia="宋体" w:cs="Times New Roman"/>
                <w:color w:val="000000"/>
                <w:szCs w:val="21"/>
                <w:highlight w:val="none"/>
              </w:rPr>
              <w:t>C语言程序设计</w:t>
            </w:r>
          </w:p>
        </w:tc>
        <w:tc>
          <w:tcPr>
            <w:tcW w:w="1134"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物联网专业群</w:t>
            </w:r>
          </w:p>
        </w:tc>
        <w:tc>
          <w:tcPr>
            <w:tcW w:w="1417"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模拟操作、真实平台操作、专题讲座等</w:t>
            </w:r>
          </w:p>
        </w:tc>
        <w:tc>
          <w:tcPr>
            <w:tcW w:w="1276"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817" w:type="dxa"/>
            <w:vMerge w:val="continue"/>
            <w:shd w:val="clear" w:color="auto" w:fill="auto"/>
            <w:vAlign w:val="center"/>
          </w:tcPr>
          <w:p>
            <w:pPr>
              <w:jc w:val="center"/>
              <w:rPr>
                <w:rFonts w:ascii="宋体" w:hAnsi="宋体" w:eastAsia="宋体" w:cs="宋体"/>
                <w:color w:val="000000"/>
                <w:szCs w:val="21"/>
                <w:highlight w:val="none"/>
              </w:rPr>
            </w:pPr>
          </w:p>
        </w:tc>
        <w:tc>
          <w:tcPr>
            <w:tcW w:w="709" w:type="dxa"/>
            <w:vMerge w:val="continue"/>
            <w:shd w:val="clear" w:color="auto" w:fill="auto"/>
            <w:vAlign w:val="center"/>
          </w:tcPr>
          <w:p>
            <w:pPr>
              <w:jc w:val="center"/>
              <w:rPr>
                <w:rFonts w:ascii="宋体" w:hAnsi="宋体" w:eastAsia="宋体" w:cs="宋体"/>
                <w:color w:val="000000"/>
                <w:szCs w:val="21"/>
                <w:highlight w:val="none"/>
              </w:rPr>
            </w:pPr>
          </w:p>
        </w:tc>
        <w:tc>
          <w:tcPr>
            <w:tcW w:w="1701"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毕业实习与就业意识、能力提升和准备</w:t>
            </w:r>
          </w:p>
        </w:tc>
        <w:tc>
          <w:tcPr>
            <w:tcW w:w="1134"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顶岗实习、毕业论文</w:t>
            </w:r>
          </w:p>
        </w:tc>
        <w:tc>
          <w:tcPr>
            <w:tcW w:w="1134"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物联网专业群</w:t>
            </w:r>
          </w:p>
        </w:tc>
        <w:tc>
          <w:tcPr>
            <w:tcW w:w="1417"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毕业专业教育、职前专项培训、顶岗实习动员会等</w:t>
            </w:r>
          </w:p>
        </w:tc>
        <w:tc>
          <w:tcPr>
            <w:tcW w:w="1276" w:type="dxa"/>
            <w:shd w:val="clear" w:color="auto" w:fill="auto"/>
            <w:vAlign w:val="center"/>
          </w:tcPr>
          <w:p>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教务处、就业处、信息工程系</w:t>
            </w:r>
          </w:p>
        </w:tc>
      </w:tr>
    </w:tbl>
    <w:p>
      <w:pPr>
        <w:pStyle w:val="24"/>
        <w:ind w:firstLine="0" w:firstLineChars="0"/>
        <w:rPr>
          <w:rFonts w:ascii="宋体" w:hAnsi="宋体" w:eastAsia="宋体"/>
          <w:bCs/>
          <w:highlight w:val="none"/>
        </w:rPr>
      </w:pPr>
    </w:p>
    <w:p>
      <w:pPr>
        <w:pStyle w:val="24"/>
        <w:rPr>
          <w:rFonts w:ascii="宋体" w:hAnsi="宋体" w:eastAsia="宋体"/>
          <w:bCs/>
          <w:highlight w:val="none"/>
        </w:rPr>
      </w:pPr>
      <w:r>
        <w:rPr>
          <w:rFonts w:hint="eastAsia" w:ascii="宋体" w:hAnsi="宋体" w:eastAsia="宋体"/>
          <w:bCs/>
          <w:highlight w:val="none"/>
        </w:rPr>
        <w:t>（二）制度保障</w:t>
      </w:r>
    </w:p>
    <w:p>
      <w:pPr>
        <w:snapToGrid w:val="0"/>
        <w:spacing w:line="380" w:lineRule="exact"/>
        <w:rPr>
          <w:rFonts w:ascii="宋体" w:hAnsi="宋体" w:eastAsia="宋体"/>
          <w:szCs w:val="21"/>
          <w:highlight w:val="none"/>
        </w:rPr>
      </w:pPr>
      <w:r>
        <w:rPr>
          <w:rFonts w:hint="eastAsia" w:ascii="宋体" w:hAnsi="宋体" w:eastAsia="宋体"/>
          <w:szCs w:val="21"/>
          <w:highlight w:val="none"/>
        </w:rPr>
        <w:t xml:space="preserve">    为保障专业人才培养方案的运行实施，学校建立有完整的教学质量监控体系。</w:t>
      </w:r>
    </w:p>
    <w:p>
      <w:pPr>
        <w:snapToGrid w:val="0"/>
        <w:spacing w:line="380" w:lineRule="exact"/>
        <w:jc w:val="center"/>
        <w:rPr>
          <w:rFonts w:ascii="宋体" w:hAnsi="宋体" w:eastAsia="宋体"/>
          <w:sz w:val="18"/>
          <w:szCs w:val="18"/>
          <w:highlight w:val="none"/>
        </w:rPr>
      </w:pPr>
      <w:r>
        <w:rPr>
          <w:rFonts w:hint="eastAsia" w:ascii="宋体" w:hAnsi="宋体" w:eastAsia="宋体"/>
          <w:b/>
          <w:sz w:val="18"/>
          <w:szCs w:val="18"/>
          <w:highlight w:val="none"/>
        </w:rPr>
        <w:t xml:space="preserve"> 方案实施保障制度一览表</w:t>
      </w:r>
    </w:p>
    <w:tbl>
      <w:tblPr>
        <w:tblStyle w:val="1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440"/>
        <w:gridCol w:w="741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jc w:val="center"/>
        </w:trPr>
        <w:tc>
          <w:tcPr>
            <w:tcW w:w="1440" w:type="dxa"/>
            <w:tcBorders>
              <w:bottom w:val="double" w:color="auto" w:sz="4" w:space="0"/>
              <w:right w:val="single" w:color="auto" w:sz="4" w:space="0"/>
            </w:tcBorders>
            <w:shd w:val="clear" w:color="auto" w:fill="auto"/>
            <w:vAlign w:val="center"/>
          </w:tcPr>
          <w:p>
            <w:pPr>
              <w:tabs>
                <w:tab w:val="left" w:pos="900"/>
              </w:tabs>
              <w:snapToGrid w:val="0"/>
              <w:spacing w:line="360" w:lineRule="exact"/>
              <w:jc w:val="center"/>
              <w:rPr>
                <w:rFonts w:ascii="宋体" w:hAnsi="宋体" w:eastAsia="宋体"/>
                <w:bCs/>
                <w:szCs w:val="21"/>
                <w:highlight w:val="none"/>
              </w:rPr>
            </w:pPr>
            <w:r>
              <w:rPr>
                <w:rFonts w:hint="eastAsia" w:ascii="宋体" w:hAnsi="宋体" w:eastAsia="宋体"/>
                <w:bCs/>
                <w:szCs w:val="21"/>
                <w:highlight w:val="none"/>
              </w:rPr>
              <w:t>实施内容</w:t>
            </w:r>
          </w:p>
        </w:tc>
        <w:tc>
          <w:tcPr>
            <w:tcW w:w="7410" w:type="dxa"/>
            <w:tcBorders>
              <w:left w:val="single" w:color="auto" w:sz="4" w:space="0"/>
              <w:right w:val="double" w:color="auto" w:sz="4" w:space="0"/>
            </w:tcBorders>
            <w:shd w:val="clear" w:color="auto" w:fill="auto"/>
            <w:vAlign w:val="center"/>
          </w:tcPr>
          <w:p>
            <w:pPr>
              <w:tabs>
                <w:tab w:val="left" w:pos="900"/>
              </w:tabs>
              <w:snapToGrid w:val="0"/>
              <w:spacing w:line="360" w:lineRule="exact"/>
              <w:jc w:val="center"/>
              <w:rPr>
                <w:rFonts w:ascii="宋体" w:hAnsi="宋体" w:eastAsia="宋体"/>
                <w:bCs/>
                <w:szCs w:val="21"/>
                <w:highlight w:val="none"/>
              </w:rPr>
            </w:pPr>
            <w:r>
              <w:rPr>
                <w:rFonts w:hint="eastAsia" w:ascii="宋体" w:hAnsi="宋体" w:eastAsia="宋体"/>
                <w:bCs/>
                <w:szCs w:val="21"/>
                <w:highlight w:val="none"/>
              </w:rPr>
              <w:t>制度保障</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07" w:hRule="atLeast"/>
          <w:jc w:val="center"/>
        </w:trPr>
        <w:tc>
          <w:tcPr>
            <w:tcW w:w="1440" w:type="dxa"/>
            <w:tcBorders>
              <w:bottom w:val="single" w:color="auto" w:sz="4" w:space="0"/>
              <w:right w:val="single" w:color="auto" w:sz="4" w:space="0"/>
            </w:tcBorders>
            <w:shd w:val="clear" w:color="auto" w:fill="auto"/>
            <w:vAlign w:val="center"/>
          </w:tcPr>
          <w:p>
            <w:pPr>
              <w:tabs>
                <w:tab w:val="left" w:pos="900"/>
              </w:tabs>
              <w:snapToGrid w:val="0"/>
              <w:spacing w:line="360" w:lineRule="exact"/>
              <w:jc w:val="center"/>
              <w:rPr>
                <w:rFonts w:ascii="宋体" w:hAnsi="宋体" w:eastAsia="宋体"/>
                <w:szCs w:val="21"/>
                <w:highlight w:val="none"/>
              </w:rPr>
            </w:pPr>
            <w:r>
              <w:rPr>
                <w:rFonts w:hint="eastAsia" w:ascii="宋体" w:hAnsi="宋体" w:eastAsia="宋体"/>
                <w:szCs w:val="21"/>
                <w:highlight w:val="none"/>
              </w:rPr>
              <w:t>校企合作</w:t>
            </w:r>
          </w:p>
        </w:tc>
        <w:tc>
          <w:tcPr>
            <w:tcW w:w="7410" w:type="dxa"/>
            <w:tcBorders>
              <w:left w:val="single" w:color="auto" w:sz="4" w:space="0"/>
              <w:bottom w:val="single" w:color="auto" w:sz="4" w:space="0"/>
              <w:right w:val="double" w:color="auto" w:sz="4" w:space="0"/>
            </w:tcBorders>
            <w:shd w:val="clear" w:color="auto" w:fill="auto"/>
            <w:vAlign w:val="center"/>
          </w:tcPr>
          <w:p>
            <w:pPr>
              <w:tabs>
                <w:tab w:val="left" w:pos="900"/>
              </w:tabs>
              <w:snapToGrid w:val="0"/>
              <w:spacing w:line="360" w:lineRule="exact"/>
              <w:rPr>
                <w:rFonts w:ascii="宋体" w:hAnsi="宋体" w:eastAsia="宋体"/>
                <w:szCs w:val="21"/>
                <w:highlight w:val="none"/>
              </w:rPr>
            </w:pPr>
            <w:r>
              <w:rPr>
                <w:rFonts w:hint="eastAsia" w:ascii="宋体" w:hAnsi="宋体" w:eastAsia="宋体"/>
                <w:szCs w:val="21"/>
                <w:highlight w:val="none"/>
              </w:rPr>
              <w:t>学院校企合作工作领导小组；校外教学实习基地建设与管理规定；规范就业、校企合作、顶岗实习的有关规定；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1440" w:type="dxa"/>
            <w:tcBorders>
              <w:top w:val="single" w:color="auto" w:sz="4" w:space="0"/>
              <w:bottom w:val="single" w:color="auto" w:sz="4" w:space="0"/>
              <w:right w:val="single" w:color="auto" w:sz="4" w:space="0"/>
            </w:tcBorders>
            <w:shd w:val="clear" w:color="auto" w:fill="auto"/>
            <w:vAlign w:val="center"/>
          </w:tcPr>
          <w:p>
            <w:pPr>
              <w:tabs>
                <w:tab w:val="left" w:pos="900"/>
              </w:tabs>
              <w:snapToGrid w:val="0"/>
              <w:spacing w:line="360" w:lineRule="exact"/>
              <w:jc w:val="center"/>
              <w:rPr>
                <w:rFonts w:ascii="宋体" w:hAnsi="宋体" w:eastAsia="宋体"/>
                <w:szCs w:val="21"/>
                <w:highlight w:val="none"/>
              </w:rPr>
            </w:pPr>
            <w:r>
              <w:rPr>
                <w:rFonts w:hint="eastAsia" w:ascii="宋体" w:hAnsi="宋体" w:eastAsia="宋体"/>
                <w:szCs w:val="21"/>
                <w:highlight w:val="none"/>
              </w:rPr>
              <w:t>专业建设</w:t>
            </w:r>
          </w:p>
        </w:tc>
        <w:tc>
          <w:tcPr>
            <w:tcW w:w="7410" w:type="dxa"/>
            <w:tcBorders>
              <w:top w:val="single" w:color="auto" w:sz="4" w:space="0"/>
              <w:left w:val="single" w:color="auto" w:sz="4" w:space="0"/>
              <w:bottom w:val="single" w:color="auto" w:sz="4" w:space="0"/>
              <w:right w:val="double" w:color="auto" w:sz="4" w:space="0"/>
            </w:tcBorders>
            <w:shd w:val="clear" w:color="auto" w:fill="auto"/>
            <w:vAlign w:val="center"/>
          </w:tcPr>
          <w:p>
            <w:pPr>
              <w:tabs>
                <w:tab w:val="left" w:pos="900"/>
              </w:tabs>
              <w:snapToGrid w:val="0"/>
              <w:spacing w:line="360" w:lineRule="exact"/>
              <w:rPr>
                <w:rFonts w:ascii="宋体" w:hAnsi="宋体" w:eastAsia="宋体"/>
                <w:szCs w:val="21"/>
                <w:highlight w:val="none"/>
              </w:rPr>
            </w:pPr>
            <w:r>
              <w:rPr>
                <w:rFonts w:hint="eastAsia" w:ascii="宋体" w:hAnsi="宋体" w:eastAsia="宋体"/>
                <w:szCs w:val="21"/>
                <w:highlight w:val="none"/>
              </w:rPr>
              <w:t>专业建设管理办法；院级重点专业管理办法；专业指导委员会工作条例；</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0" w:hRule="atLeast"/>
          <w:jc w:val="center"/>
        </w:trPr>
        <w:tc>
          <w:tcPr>
            <w:tcW w:w="1440" w:type="dxa"/>
            <w:tcBorders>
              <w:top w:val="single" w:color="auto" w:sz="4" w:space="0"/>
              <w:bottom w:val="single" w:color="auto" w:sz="4" w:space="0"/>
              <w:right w:val="single" w:color="auto" w:sz="4" w:space="0"/>
            </w:tcBorders>
            <w:shd w:val="clear" w:color="auto" w:fill="auto"/>
            <w:vAlign w:val="center"/>
          </w:tcPr>
          <w:p>
            <w:pPr>
              <w:tabs>
                <w:tab w:val="left" w:pos="900"/>
              </w:tabs>
              <w:snapToGrid w:val="0"/>
              <w:spacing w:line="360" w:lineRule="exact"/>
              <w:jc w:val="center"/>
              <w:rPr>
                <w:rFonts w:ascii="宋体" w:hAnsi="宋体" w:eastAsia="宋体"/>
                <w:szCs w:val="21"/>
                <w:highlight w:val="none"/>
              </w:rPr>
            </w:pPr>
            <w:r>
              <w:rPr>
                <w:rFonts w:hint="eastAsia" w:ascii="宋体" w:hAnsi="宋体" w:eastAsia="宋体"/>
                <w:szCs w:val="21"/>
                <w:highlight w:val="none"/>
              </w:rPr>
              <w:t>课程建设</w:t>
            </w:r>
          </w:p>
        </w:tc>
        <w:tc>
          <w:tcPr>
            <w:tcW w:w="7410" w:type="dxa"/>
            <w:tcBorders>
              <w:top w:val="single" w:color="auto" w:sz="4" w:space="0"/>
              <w:left w:val="single" w:color="auto" w:sz="4" w:space="0"/>
              <w:bottom w:val="single" w:color="auto" w:sz="4" w:space="0"/>
              <w:right w:val="double" w:color="auto" w:sz="4" w:space="0"/>
            </w:tcBorders>
            <w:shd w:val="clear" w:color="auto" w:fill="auto"/>
            <w:vAlign w:val="center"/>
          </w:tcPr>
          <w:p>
            <w:pPr>
              <w:tabs>
                <w:tab w:val="left" w:pos="900"/>
              </w:tabs>
              <w:snapToGrid w:val="0"/>
              <w:spacing w:line="360" w:lineRule="exact"/>
              <w:rPr>
                <w:rFonts w:ascii="宋体" w:hAnsi="宋体" w:eastAsia="宋体"/>
                <w:szCs w:val="21"/>
                <w:highlight w:val="none"/>
              </w:rPr>
            </w:pPr>
            <w:r>
              <w:rPr>
                <w:rFonts w:hint="eastAsia" w:ascii="宋体" w:hAnsi="宋体" w:eastAsia="宋体"/>
                <w:szCs w:val="21"/>
                <w:highlight w:val="none"/>
              </w:rPr>
              <w:t>院级精品课程验收标准；精品课程建设方案及管理办法；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5" w:hRule="atLeast"/>
          <w:jc w:val="center"/>
        </w:trPr>
        <w:tc>
          <w:tcPr>
            <w:tcW w:w="1440" w:type="dxa"/>
            <w:tcBorders>
              <w:top w:val="single" w:color="auto" w:sz="4" w:space="0"/>
              <w:bottom w:val="single" w:color="auto" w:sz="4" w:space="0"/>
              <w:right w:val="single" w:color="auto" w:sz="4" w:space="0"/>
            </w:tcBorders>
            <w:shd w:val="clear" w:color="auto" w:fill="auto"/>
            <w:vAlign w:val="center"/>
          </w:tcPr>
          <w:p>
            <w:pPr>
              <w:tabs>
                <w:tab w:val="left" w:pos="900"/>
              </w:tabs>
              <w:snapToGrid w:val="0"/>
              <w:spacing w:line="360" w:lineRule="exact"/>
              <w:jc w:val="center"/>
              <w:rPr>
                <w:rFonts w:ascii="宋体" w:hAnsi="宋体" w:eastAsia="宋体"/>
                <w:szCs w:val="21"/>
                <w:highlight w:val="none"/>
              </w:rPr>
            </w:pPr>
            <w:r>
              <w:rPr>
                <w:rFonts w:hint="eastAsia" w:ascii="宋体" w:hAnsi="宋体" w:eastAsia="宋体"/>
                <w:szCs w:val="21"/>
                <w:highlight w:val="none"/>
              </w:rPr>
              <w:t>师资建设</w:t>
            </w:r>
          </w:p>
        </w:tc>
        <w:tc>
          <w:tcPr>
            <w:tcW w:w="7410" w:type="dxa"/>
            <w:tcBorders>
              <w:top w:val="single" w:color="auto" w:sz="4" w:space="0"/>
              <w:left w:val="single" w:color="auto" w:sz="4" w:space="0"/>
              <w:bottom w:val="single" w:color="auto" w:sz="4" w:space="0"/>
              <w:right w:val="double" w:color="auto" w:sz="4" w:space="0"/>
            </w:tcBorders>
            <w:shd w:val="clear" w:color="auto" w:fill="auto"/>
            <w:vAlign w:val="center"/>
          </w:tcPr>
          <w:p>
            <w:pPr>
              <w:tabs>
                <w:tab w:val="left" w:pos="900"/>
              </w:tabs>
              <w:snapToGrid w:val="0"/>
              <w:spacing w:line="360" w:lineRule="exact"/>
              <w:rPr>
                <w:rFonts w:ascii="宋体" w:hAnsi="宋体" w:eastAsia="宋体"/>
                <w:szCs w:val="21"/>
                <w:highlight w:val="none"/>
              </w:rPr>
            </w:pPr>
            <w:r>
              <w:rPr>
                <w:rFonts w:hint="eastAsia" w:ascii="宋体" w:hAnsi="宋体" w:eastAsia="宋体"/>
                <w:kern w:val="36"/>
                <w:szCs w:val="21"/>
                <w:highlight w:val="none"/>
              </w:rPr>
              <w:t>新聘教师培训办法；</w:t>
            </w:r>
            <w:r>
              <w:rPr>
                <w:rFonts w:hint="eastAsia" w:ascii="宋体" w:hAnsi="宋体" w:eastAsia="宋体"/>
                <w:kern w:val="0"/>
                <w:szCs w:val="21"/>
                <w:highlight w:val="none"/>
              </w:rPr>
              <w:t>双师型教师认定办法；</w:t>
            </w:r>
            <w:r>
              <w:rPr>
                <w:rFonts w:hint="eastAsia" w:ascii="宋体" w:hAnsi="宋体" w:eastAsia="宋体"/>
                <w:szCs w:val="21"/>
                <w:highlight w:val="none"/>
              </w:rPr>
              <w:t>专任教师赴企业挂职锻炼管理暂行办法；</w:t>
            </w:r>
            <w:r>
              <w:rPr>
                <w:rFonts w:hint="eastAsia" w:ascii="宋体" w:hAnsi="宋体" w:eastAsia="宋体"/>
                <w:kern w:val="0"/>
                <w:szCs w:val="21"/>
                <w:highlight w:val="none"/>
              </w:rPr>
              <w:t>外聘兼职教师管理办法；教师进修培训管理规定；专业带头人和中青年骨干教师评选办法；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5" w:hRule="atLeast"/>
          <w:jc w:val="center"/>
        </w:trPr>
        <w:tc>
          <w:tcPr>
            <w:tcW w:w="1440" w:type="dxa"/>
            <w:tcBorders>
              <w:top w:val="single" w:color="auto" w:sz="4" w:space="0"/>
              <w:bottom w:val="single" w:color="auto" w:sz="4" w:space="0"/>
              <w:right w:val="single" w:color="auto" w:sz="4" w:space="0"/>
            </w:tcBorders>
            <w:shd w:val="clear" w:color="auto" w:fill="auto"/>
            <w:vAlign w:val="center"/>
          </w:tcPr>
          <w:p>
            <w:pPr>
              <w:tabs>
                <w:tab w:val="left" w:pos="900"/>
              </w:tabs>
              <w:snapToGrid w:val="0"/>
              <w:spacing w:line="360" w:lineRule="exact"/>
              <w:jc w:val="center"/>
              <w:rPr>
                <w:rFonts w:ascii="宋体" w:hAnsi="宋体" w:eastAsia="宋体"/>
                <w:szCs w:val="21"/>
                <w:highlight w:val="none"/>
              </w:rPr>
            </w:pPr>
            <w:r>
              <w:rPr>
                <w:rFonts w:hint="eastAsia" w:ascii="宋体" w:hAnsi="宋体" w:eastAsia="宋体"/>
                <w:szCs w:val="21"/>
                <w:highlight w:val="none"/>
              </w:rPr>
              <w:t>教材建设</w:t>
            </w:r>
          </w:p>
        </w:tc>
        <w:tc>
          <w:tcPr>
            <w:tcW w:w="7410" w:type="dxa"/>
            <w:tcBorders>
              <w:top w:val="single" w:color="auto" w:sz="4" w:space="0"/>
              <w:left w:val="single" w:color="auto" w:sz="4" w:space="0"/>
              <w:bottom w:val="single" w:color="auto" w:sz="4" w:space="0"/>
              <w:right w:val="double" w:color="auto" w:sz="4" w:space="0"/>
            </w:tcBorders>
            <w:shd w:val="clear" w:color="auto" w:fill="auto"/>
            <w:vAlign w:val="center"/>
          </w:tcPr>
          <w:p>
            <w:pPr>
              <w:tabs>
                <w:tab w:val="left" w:pos="900"/>
              </w:tabs>
              <w:snapToGrid w:val="0"/>
              <w:spacing w:line="360" w:lineRule="exact"/>
              <w:rPr>
                <w:rFonts w:ascii="宋体" w:hAnsi="宋体" w:eastAsia="宋体"/>
                <w:szCs w:val="21"/>
                <w:highlight w:val="none"/>
              </w:rPr>
            </w:pPr>
            <w:r>
              <w:rPr>
                <w:rFonts w:hint="eastAsia" w:ascii="宋体" w:hAnsi="宋体" w:eastAsia="宋体"/>
                <w:szCs w:val="21"/>
                <w:highlight w:val="none"/>
              </w:rPr>
              <w:t>校本教材建设管理规定；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5" w:hRule="atLeast"/>
          <w:jc w:val="center"/>
        </w:trPr>
        <w:tc>
          <w:tcPr>
            <w:tcW w:w="1440" w:type="dxa"/>
            <w:tcBorders>
              <w:top w:val="single" w:color="auto" w:sz="4" w:space="0"/>
              <w:bottom w:val="single" w:color="auto" w:sz="4" w:space="0"/>
              <w:right w:val="single" w:color="auto" w:sz="4" w:space="0"/>
            </w:tcBorders>
            <w:shd w:val="clear" w:color="auto" w:fill="auto"/>
            <w:vAlign w:val="center"/>
          </w:tcPr>
          <w:p>
            <w:pPr>
              <w:tabs>
                <w:tab w:val="left" w:pos="900"/>
              </w:tabs>
              <w:snapToGrid w:val="0"/>
              <w:spacing w:line="360" w:lineRule="exact"/>
              <w:jc w:val="center"/>
              <w:rPr>
                <w:rFonts w:ascii="宋体" w:hAnsi="宋体" w:eastAsia="宋体"/>
                <w:szCs w:val="21"/>
                <w:highlight w:val="none"/>
              </w:rPr>
            </w:pPr>
            <w:r>
              <w:rPr>
                <w:rFonts w:hint="eastAsia" w:ascii="宋体" w:hAnsi="宋体" w:eastAsia="宋体"/>
                <w:szCs w:val="21"/>
                <w:highlight w:val="none"/>
              </w:rPr>
              <w:t>教学组织</w:t>
            </w:r>
          </w:p>
        </w:tc>
        <w:tc>
          <w:tcPr>
            <w:tcW w:w="7410" w:type="dxa"/>
            <w:tcBorders>
              <w:top w:val="single" w:color="auto" w:sz="4" w:space="0"/>
              <w:left w:val="single" w:color="auto" w:sz="4" w:space="0"/>
              <w:bottom w:val="single" w:color="auto" w:sz="4" w:space="0"/>
              <w:right w:val="double" w:color="auto" w:sz="4" w:space="0"/>
            </w:tcBorders>
            <w:shd w:val="clear" w:color="auto" w:fill="auto"/>
            <w:vAlign w:val="center"/>
          </w:tcPr>
          <w:p>
            <w:pPr>
              <w:tabs>
                <w:tab w:val="left" w:pos="900"/>
              </w:tabs>
              <w:snapToGrid w:val="0"/>
              <w:spacing w:line="360" w:lineRule="exact"/>
              <w:rPr>
                <w:rFonts w:ascii="宋体" w:hAnsi="宋体" w:eastAsia="宋体"/>
                <w:szCs w:val="21"/>
                <w:highlight w:val="none"/>
              </w:rPr>
            </w:pPr>
            <w:r>
              <w:rPr>
                <w:rFonts w:hint="eastAsia" w:ascii="宋体" w:hAnsi="宋体" w:eastAsia="宋体"/>
                <w:szCs w:val="21"/>
                <w:highlight w:val="none"/>
              </w:rPr>
              <w:t>课程教学质量标准；教学督导工作条例；教学质量检查制度；教学事故认定与处理办法；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3" w:hRule="atLeast"/>
          <w:jc w:val="center"/>
        </w:trPr>
        <w:tc>
          <w:tcPr>
            <w:tcW w:w="1440" w:type="dxa"/>
            <w:tcBorders>
              <w:top w:val="single" w:color="auto" w:sz="4" w:space="0"/>
              <w:bottom w:val="single" w:color="auto" w:sz="4" w:space="0"/>
              <w:right w:val="single" w:color="auto" w:sz="4" w:space="0"/>
            </w:tcBorders>
            <w:shd w:val="clear" w:color="auto" w:fill="auto"/>
            <w:vAlign w:val="center"/>
          </w:tcPr>
          <w:p>
            <w:pPr>
              <w:tabs>
                <w:tab w:val="left" w:pos="900"/>
              </w:tabs>
              <w:snapToGrid w:val="0"/>
              <w:spacing w:line="360" w:lineRule="exact"/>
              <w:jc w:val="center"/>
              <w:rPr>
                <w:rFonts w:ascii="宋体" w:hAnsi="宋体" w:eastAsia="宋体"/>
                <w:szCs w:val="21"/>
                <w:highlight w:val="none"/>
              </w:rPr>
            </w:pPr>
            <w:r>
              <w:rPr>
                <w:rFonts w:hint="eastAsia" w:ascii="宋体" w:hAnsi="宋体" w:eastAsia="宋体"/>
                <w:szCs w:val="21"/>
                <w:highlight w:val="none"/>
              </w:rPr>
              <w:t>实习实训</w:t>
            </w:r>
          </w:p>
        </w:tc>
        <w:tc>
          <w:tcPr>
            <w:tcW w:w="7410" w:type="dxa"/>
            <w:tcBorders>
              <w:top w:val="single" w:color="auto" w:sz="4" w:space="0"/>
              <w:left w:val="single" w:color="auto" w:sz="4" w:space="0"/>
              <w:bottom w:val="single" w:color="auto" w:sz="4" w:space="0"/>
              <w:right w:val="double" w:color="auto" w:sz="4" w:space="0"/>
            </w:tcBorders>
            <w:shd w:val="clear" w:color="auto" w:fill="auto"/>
            <w:vAlign w:val="center"/>
          </w:tcPr>
          <w:p>
            <w:pPr>
              <w:tabs>
                <w:tab w:val="left" w:pos="900"/>
              </w:tabs>
              <w:snapToGrid w:val="0"/>
              <w:spacing w:line="360" w:lineRule="exact"/>
              <w:rPr>
                <w:rFonts w:ascii="宋体" w:hAnsi="宋体" w:eastAsia="宋体"/>
                <w:szCs w:val="21"/>
                <w:highlight w:val="none"/>
              </w:rPr>
            </w:pPr>
            <w:r>
              <w:rPr>
                <w:rFonts w:hint="eastAsia" w:ascii="宋体" w:hAnsi="宋体" w:eastAsia="宋体"/>
                <w:szCs w:val="21"/>
                <w:highlight w:val="none"/>
              </w:rPr>
              <w:t>学生实习实训管理办法；顶岗实习管理办法；校外实训基地建设管理办法；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07" w:hRule="atLeast"/>
          <w:jc w:val="center"/>
        </w:trPr>
        <w:tc>
          <w:tcPr>
            <w:tcW w:w="1440" w:type="dxa"/>
            <w:tcBorders>
              <w:top w:val="single" w:color="auto" w:sz="4" w:space="0"/>
              <w:right w:val="single" w:color="auto" w:sz="4" w:space="0"/>
            </w:tcBorders>
            <w:shd w:val="clear" w:color="auto" w:fill="auto"/>
            <w:vAlign w:val="center"/>
          </w:tcPr>
          <w:p>
            <w:pPr>
              <w:tabs>
                <w:tab w:val="left" w:pos="900"/>
              </w:tabs>
              <w:snapToGrid w:val="0"/>
              <w:spacing w:line="360" w:lineRule="exact"/>
              <w:jc w:val="center"/>
              <w:rPr>
                <w:rFonts w:ascii="宋体" w:hAnsi="宋体" w:eastAsia="宋体"/>
                <w:szCs w:val="21"/>
                <w:highlight w:val="none"/>
              </w:rPr>
            </w:pPr>
            <w:r>
              <w:rPr>
                <w:rFonts w:hint="eastAsia" w:ascii="宋体" w:hAnsi="宋体" w:eastAsia="宋体"/>
                <w:szCs w:val="21"/>
                <w:highlight w:val="none"/>
              </w:rPr>
              <w:t>学生管理</w:t>
            </w:r>
          </w:p>
        </w:tc>
        <w:tc>
          <w:tcPr>
            <w:tcW w:w="7410" w:type="dxa"/>
            <w:tcBorders>
              <w:top w:val="single" w:color="auto" w:sz="4" w:space="0"/>
              <w:left w:val="single" w:color="auto" w:sz="4" w:space="0"/>
              <w:right w:val="double" w:color="auto" w:sz="4" w:space="0"/>
            </w:tcBorders>
            <w:shd w:val="clear" w:color="auto" w:fill="auto"/>
            <w:vAlign w:val="center"/>
          </w:tcPr>
          <w:p>
            <w:pPr>
              <w:tabs>
                <w:tab w:val="left" w:pos="900"/>
              </w:tabs>
              <w:snapToGrid w:val="0"/>
              <w:spacing w:line="360" w:lineRule="exact"/>
              <w:rPr>
                <w:rFonts w:ascii="宋体" w:hAnsi="宋体" w:eastAsia="宋体"/>
                <w:szCs w:val="21"/>
                <w:highlight w:val="none"/>
              </w:rPr>
            </w:pPr>
            <w:r>
              <w:rPr>
                <w:rFonts w:hint="eastAsia" w:ascii="宋体" w:hAnsi="宋体" w:eastAsia="宋体"/>
                <w:szCs w:val="21"/>
                <w:highlight w:val="none"/>
              </w:rPr>
              <w:t>学生管理实操手册；毕业生毕业资格审查管理办法；学生考勤制度；学生违纪处分实施细则；</w:t>
            </w:r>
          </w:p>
        </w:tc>
      </w:tr>
    </w:tbl>
    <w:p>
      <w:pPr>
        <w:snapToGrid w:val="0"/>
        <w:spacing w:line="380" w:lineRule="exact"/>
        <w:outlineLvl w:val="0"/>
        <w:rPr>
          <w:rFonts w:ascii="宋体" w:hAnsi="宋体" w:eastAsia="宋体"/>
          <w:b/>
          <w:sz w:val="24"/>
          <w:highlight w:val="none"/>
        </w:rPr>
      </w:pPr>
      <w:bookmarkStart w:id="14" w:name="_Toc327706751"/>
    </w:p>
    <w:p>
      <w:pPr>
        <w:snapToGrid w:val="0"/>
        <w:spacing w:line="380" w:lineRule="exact"/>
        <w:ind w:firstLine="482" w:firstLineChars="200"/>
        <w:outlineLvl w:val="0"/>
        <w:rPr>
          <w:rFonts w:ascii="宋体" w:hAnsi="宋体" w:eastAsia="宋体"/>
          <w:b/>
          <w:sz w:val="24"/>
          <w:highlight w:val="none"/>
        </w:rPr>
      </w:pPr>
      <w:r>
        <w:rPr>
          <w:rFonts w:hint="eastAsia" w:ascii="宋体" w:hAnsi="宋体" w:eastAsia="宋体"/>
          <w:b/>
          <w:sz w:val="24"/>
          <w:highlight w:val="none"/>
        </w:rPr>
        <w:t>十、毕业条件</w:t>
      </w:r>
      <w:bookmarkEnd w:id="14"/>
    </w:p>
    <w:p>
      <w:pPr>
        <w:spacing w:line="380" w:lineRule="exact"/>
        <w:ind w:firstLine="420" w:firstLineChars="200"/>
        <w:rPr>
          <w:rFonts w:ascii="宋体" w:hAnsi="宋体" w:eastAsia="宋体"/>
          <w:b/>
          <w:sz w:val="24"/>
          <w:highlight w:val="none"/>
        </w:rPr>
      </w:pPr>
      <w:r>
        <w:rPr>
          <w:rFonts w:hint="eastAsia" w:ascii="宋体" w:hAnsi="宋体" w:eastAsia="宋体" w:cs="宋体"/>
          <w:color w:val="000000"/>
          <w:szCs w:val="21"/>
          <w:highlight w:val="none"/>
        </w:rPr>
        <w:t>学生必须修满</w:t>
      </w:r>
      <w:r>
        <w:rPr>
          <w:rFonts w:hint="eastAsia" w:ascii="宋体" w:hAnsi="宋体" w:eastAsia="宋体" w:cs="宋体"/>
          <w:color w:val="000000"/>
          <w:szCs w:val="21"/>
          <w:highlight w:val="yellow"/>
          <w:lang w:val="en-US" w:eastAsia="zh-CN"/>
        </w:rPr>
        <w:t>164</w:t>
      </w:r>
      <w:r>
        <w:rPr>
          <w:rFonts w:hint="eastAsia" w:ascii="宋体" w:hAnsi="宋体" w:eastAsia="宋体" w:cs="宋体"/>
          <w:color w:val="000000"/>
          <w:szCs w:val="21"/>
          <w:highlight w:val="yellow"/>
        </w:rPr>
        <w:t>.5</w:t>
      </w:r>
      <w:r>
        <w:rPr>
          <w:rFonts w:hint="eastAsia" w:ascii="宋体" w:hAnsi="宋体" w:eastAsia="宋体" w:cs="宋体"/>
          <w:color w:val="000000"/>
          <w:szCs w:val="21"/>
          <w:highlight w:val="none"/>
        </w:rPr>
        <w:t>学分，所有课程全部考核合格，并参加完成半年顶岗实习方可准许毕业。</w:t>
      </w:r>
      <w:bookmarkStart w:id="15" w:name="_Toc327706756"/>
    </w:p>
    <w:p>
      <w:pPr>
        <w:snapToGrid w:val="0"/>
        <w:spacing w:line="380" w:lineRule="exact"/>
        <w:ind w:firstLine="482" w:firstLineChars="200"/>
        <w:outlineLvl w:val="0"/>
        <w:rPr>
          <w:rFonts w:ascii="宋体" w:hAnsi="宋体" w:eastAsia="宋体"/>
          <w:b/>
          <w:sz w:val="24"/>
          <w:highlight w:val="none"/>
        </w:rPr>
      </w:pPr>
      <w:r>
        <w:rPr>
          <w:rFonts w:hint="eastAsia" w:ascii="宋体" w:hAnsi="宋体" w:eastAsia="宋体"/>
          <w:b/>
          <w:sz w:val="24"/>
          <w:highlight w:val="none"/>
        </w:rPr>
        <w:t>十一、专业教学指导委员会成员表</w:t>
      </w:r>
      <w:bookmarkEnd w:id="15"/>
    </w:p>
    <w:p>
      <w:pPr>
        <w:snapToGrid w:val="0"/>
        <w:rPr>
          <w:rFonts w:ascii="宋体" w:hAnsi="宋体" w:eastAsia="宋体"/>
          <w:b/>
          <w:sz w:val="18"/>
          <w:szCs w:val="18"/>
          <w:highlight w:val="none"/>
        </w:rPr>
      </w:pPr>
    </w:p>
    <w:p>
      <w:pPr>
        <w:snapToGrid w:val="0"/>
        <w:jc w:val="center"/>
        <w:rPr>
          <w:rFonts w:ascii="宋体" w:hAnsi="宋体" w:eastAsia="宋体"/>
          <w:b/>
          <w:sz w:val="18"/>
          <w:szCs w:val="18"/>
          <w:highlight w:val="none"/>
        </w:rPr>
      </w:pPr>
    </w:p>
    <w:p>
      <w:pPr>
        <w:snapToGrid w:val="0"/>
        <w:jc w:val="center"/>
        <w:rPr>
          <w:rFonts w:ascii="宋体" w:hAnsi="宋体" w:eastAsia="宋体"/>
          <w:sz w:val="18"/>
          <w:szCs w:val="18"/>
          <w:highlight w:val="none"/>
        </w:rPr>
      </w:pPr>
      <w:r>
        <w:rPr>
          <w:rFonts w:hint="eastAsia" w:ascii="宋体" w:hAnsi="宋体" w:eastAsia="宋体"/>
          <w:b/>
          <w:sz w:val="18"/>
          <w:szCs w:val="18"/>
          <w:highlight w:val="none"/>
        </w:rPr>
        <w:t>专业教学指导委员会成员一览表</w:t>
      </w:r>
    </w:p>
    <w:tbl>
      <w:tblPr>
        <w:tblStyle w:val="13"/>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845"/>
        <w:gridCol w:w="2441"/>
        <w:gridCol w:w="904"/>
        <w:gridCol w:w="904"/>
        <w:gridCol w:w="904"/>
        <w:gridCol w:w="1336"/>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17" w:type="dxa"/>
            <w:vMerge w:val="restart"/>
            <w:shd w:val="clear" w:color="auto" w:fill="auto"/>
            <w:vAlign w:val="center"/>
          </w:tcPr>
          <w:p>
            <w:pPr>
              <w:tabs>
                <w:tab w:val="left" w:pos="900"/>
              </w:tabs>
              <w:snapToGrid w:val="0"/>
              <w:spacing w:line="360" w:lineRule="exact"/>
              <w:jc w:val="center"/>
              <w:rPr>
                <w:rFonts w:ascii="Arial" w:hAnsi="Arial" w:eastAsia="宋体" w:cs="黑体"/>
                <w:bCs/>
                <w:color w:val="000000"/>
                <w:sz w:val="18"/>
                <w:szCs w:val="18"/>
                <w:highlight w:val="none"/>
              </w:rPr>
            </w:pPr>
            <w:r>
              <w:rPr>
                <w:rFonts w:hint="eastAsia" w:ascii="Arial" w:hAnsi="Arial" w:eastAsia="宋体" w:cs="黑体"/>
                <w:bCs/>
                <w:color w:val="000000"/>
                <w:sz w:val="18"/>
                <w:szCs w:val="18"/>
                <w:highlight w:val="none"/>
              </w:rPr>
              <w:t>序号</w:t>
            </w:r>
          </w:p>
        </w:tc>
        <w:tc>
          <w:tcPr>
            <w:tcW w:w="845" w:type="dxa"/>
            <w:vMerge w:val="restart"/>
            <w:shd w:val="clear" w:color="auto" w:fill="auto"/>
            <w:vAlign w:val="center"/>
          </w:tcPr>
          <w:p>
            <w:pPr>
              <w:tabs>
                <w:tab w:val="left" w:pos="900"/>
              </w:tabs>
              <w:snapToGrid w:val="0"/>
              <w:spacing w:line="360" w:lineRule="exact"/>
              <w:jc w:val="center"/>
              <w:rPr>
                <w:rFonts w:ascii="Arial" w:hAnsi="Arial" w:eastAsia="宋体" w:cs="黑体"/>
                <w:bCs/>
                <w:color w:val="000000"/>
                <w:sz w:val="18"/>
                <w:szCs w:val="18"/>
                <w:highlight w:val="none"/>
              </w:rPr>
            </w:pPr>
            <w:r>
              <w:rPr>
                <w:rFonts w:hint="eastAsia" w:ascii="Arial" w:hAnsi="Arial" w:eastAsia="宋体" w:cs="黑体"/>
                <w:bCs/>
                <w:color w:val="000000"/>
                <w:sz w:val="18"/>
                <w:szCs w:val="18"/>
                <w:highlight w:val="none"/>
              </w:rPr>
              <w:t>姓名</w:t>
            </w:r>
          </w:p>
        </w:tc>
        <w:tc>
          <w:tcPr>
            <w:tcW w:w="2441" w:type="dxa"/>
            <w:vMerge w:val="restart"/>
            <w:shd w:val="clear" w:color="auto" w:fill="auto"/>
            <w:vAlign w:val="center"/>
          </w:tcPr>
          <w:p>
            <w:pPr>
              <w:tabs>
                <w:tab w:val="left" w:pos="900"/>
              </w:tabs>
              <w:snapToGrid w:val="0"/>
              <w:spacing w:line="360" w:lineRule="exact"/>
              <w:jc w:val="center"/>
              <w:rPr>
                <w:rFonts w:ascii="Arial" w:hAnsi="Arial" w:eastAsia="宋体" w:cs="黑体"/>
                <w:bCs/>
                <w:color w:val="000000"/>
                <w:sz w:val="18"/>
                <w:szCs w:val="18"/>
                <w:highlight w:val="none"/>
              </w:rPr>
            </w:pPr>
            <w:r>
              <w:rPr>
                <w:rFonts w:hint="eastAsia" w:ascii="Arial" w:hAnsi="Arial" w:eastAsia="宋体" w:cs="黑体"/>
                <w:bCs/>
                <w:color w:val="000000"/>
                <w:sz w:val="18"/>
                <w:szCs w:val="18"/>
                <w:highlight w:val="none"/>
              </w:rPr>
              <w:t>单位</w:t>
            </w:r>
          </w:p>
        </w:tc>
        <w:tc>
          <w:tcPr>
            <w:tcW w:w="904" w:type="dxa"/>
            <w:vMerge w:val="restart"/>
            <w:shd w:val="clear" w:color="auto" w:fill="auto"/>
            <w:vAlign w:val="center"/>
          </w:tcPr>
          <w:p>
            <w:pPr>
              <w:tabs>
                <w:tab w:val="left" w:pos="900"/>
              </w:tabs>
              <w:snapToGrid w:val="0"/>
              <w:spacing w:line="360" w:lineRule="exact"/>
              <w:jc w:val="center"/>
              <w:rPr>
                <w:rFonts w:ascii="Arial" w:hAnsi="Arial" w:eastAsia="宋体" w:cs="黑体"/>
                <w:bCs/>
                <w:color w:val="000000"/>
                <w:sz w:val="18"/>
                <w:szCs w:val="18"/>
                <w:highlight w:val="none"/>
              </w:rPr>
            </w:pPr>
            <w:r>
              <w:rPr>
                <w:rFonts w:hint="eastAsia" w:ascii="Arial" w:hAnsi="Arial" w:eastAsia="宋体" w:cs="黑体"/>
                <w:bCs/>
                <w:color w:val="000000"/>
                <w:sz w:val="18"/>
                <w:szCs w:val="18"/>
                <w:highlight w:val="none"/>
              </w:rPr>
              <w:t>职称</w:t>
            </w:r>
          </w:p>
        </w:tc>
        <w:tc>
          <w:tcPr>
            <w:tcW w:w="904" w:type="dxa"/>
            <w:vMerge w:val="restart"/>
            <w:shd w:val="clear" w:color="auto" w:fill="auto"/>
            <w:vAlign w:val="center"/>
          </w:tcPr>
          <w:p>
            <w:pPr>
              <w:tabs>
                <w:tab w:val="left" w:pos="900"/>
              </w:tabs>
              <w:snapToGrid w:val="0"/>
              <w:spacing w:line="360" w:lineRule="exact"/>
              <w:jc w:val="center"/>
              <w:rPr>
                <w:rFonts w:ascii="Arial" w:hAnsi="Arial" w:eastAsia="宋体" w:cs="黑体"/>
                <w:bCs/>
                <w:color w:val="000000"/>
                <w:sz w:val="18"/>
                <w:szCs w:val="18"/>
                <w:highlight w:val="none"/>
              </w:rPr>
            </w:pPr>
            <w:r>
              <w:rPr>
                <w:rFonts w:hint="eastAsia" w:ascii="Arial" w:hAnsi="Arial" w:eastAsia="宋体" w:cs="黑体"/>
                <w:bCs/>
                <w:color w:val="000000"/>
                <w:sz w:val="18"/>
                <w:szCs w:val="18"/>
                <w:highlight w:val="none"/>
              </w:rPr>
              <w:t>职务</w:t>
            </w:r>
          </w:p>
        </w:tc>
        <w:tc>
          <w:tcPr>
            <w:tcW w:w="904" w:type="dxa"/>
            <w:vMerge w:val="restart"/>
            <w:shd w:val="clear" w:color="auto" w:fill="auto"/>
            <w:vAlign w:val="center"/>
          </w:tcPr>
          <w:p>
            <w:pPr>
              <w:tabs>
                <w:tab w:val="left" w:pos="900"/>
              </w:tabs>
              <w:snapToGrid w:val="0"/>
              <w:jc w:val="center"/>
              <w:rPr>
                <w:rFonts w:ascii="Arial" w:hAnsi="Arial" w:eastAsia="宋体" w:cs="黑体"/>
                <w:bCs/>
                <w:color w:val="000000"/>
                <w:sz w:val="18"/>
                <w:szCs w:val="18"/>
                <w:highlight w:val="none"/>
              </w:rPr>
            </w:pPr>
            <w:r>
              <w:rPr>
                <w:rFonts w:hint="eastAsia" w:ascii="Arial" w:hAnsi="Arial" w:eastAsia="宋体" w:cs="黑体"/>
                <w:bCs/>
                <w:color w:val="000000"/>
                <w:sz w:val="18"/>
                <w:szCs w:val="18"/>
                <w:highlight w:val="none"/>
              </w:rPr>
              <w:t>委员会</w:t>
            </w:r>
          </w:p>
          <w:p>
            <w:pPr>
              <w:tabs>
                <w:tab w:val="left" w:pos="900"/>
              </w:tabs>
              <w:snapToGrid w:val="0"/>
              <w:jc w:val="center"/>
              <w:rPr>
                <w:rFonts w:ascii="Arial" w:hAnsi="Arial" w:eastAsia="宋体" w:cs="黑体"/>
                <w:bCs/>
                <w:color w:val="000000"/>
                <w:sz w:val="18"/>
                <w:szCs w:val="18"/>
                <w:highlight w:val="none"/>
              </w:rPr>
            </w:pPr>
            <w:r>
              <w:rPr>
                <w:rFonts w:hint="eastAsia" w:ascii="Arial" w:hAnsi="Arial" w:eastAsia="宋体" w:cs="黑体"/>
                <w:bCs/>
                <w:color w:val="000000"/>
                <w:sz w:val="18"/>
                <w:szCs w:val="18"/>
                <w:highlight w:val="none"/>
              </w:rPr>
              <w:t>职务</w:t>
            </w:r>
          </w:p>
        </w:tc>
        <w:tc>
          <w:tcPr>
            <w:tcW w:w="2679" w:type="dxa"/>
            <w:gridSpan w:val="2"/>
            <w:tcBorders>
              <w:bottom w:val="single" w:color="auto" w:sz="4" w:space="0"/>
            </w:tcBorders>
            <w:shd w:val="clear" w:color="auto" w:fill="auto"/>
            <w:vAlign w:val="center"/>
          </w:tcPr>
          <w:p>
            <w:pPr>
              <w:tabs>
                <w:tab w:val="left" w:pos="900"/>
              </w:tabs>
              <w:snapToGrid w:val="0"/>
              <w:spacing w:line="360" w:lineRule="exact"/>
              <w:jc w:val="center"/>
              <w:rPr>
                <w:rFonts w:ascii="Arial" w:hAnsi="Arial" w:eastAsia="宋体" w:cs="黑体"/>
                <w:bCs/>
                <w:color w:val="000000"/>
                <w:sz w:val="18"/>
                <w:szCs w:val="18"/>
                <w:highlight w:val="none"/>
              </w:rPr>
            </w:pPr>
            <w:r>
              <w:rPr>
                <w:rFonts w:hint="eastAsia" w:ascii="Arial" w:hAnsi="Arial" w:eastAsia="宋体" w:cs="黑体"/>
                <w:bCs/>
                <w:color w:val="000000"/>
                <w:sz w:val="18"/>
                <w:szCs w:val="18"/>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17" w:type="dxa"/>
            <w:vMerge w:val="continue"/>
            <w:shd w:val="clear" w:color="auto" w:fill="auto"/>
            <w:vAlign w:val="center"/>
          </w:tcPr>
          <w:p>
            <w:pPr>
              <w:tabs>
                <w:tab w:val="left" w:pos="900"/>
              </w:tabs>
              <w:snapToGrid w:val="0"/>
              <w:spacing w:line="360" w:lineRule="exact"/>
              <w:jc w:val="center"/>
              <w:rPr>
                <w:rFonts w:ascii="Arial" w:hAnsi="Arial" w:eastAsia="宋体" w:cs="黑体"/>
                <w:bCs/>
                <w:color w:val="000000"/>
                <w:sz w:val="18"/>
                <w:szCs w:val="18"/>
                <w:highlight w:val="none"/>
              </w:rPr>
            </w:pPr>
          </w:p>
        </w:tc>
        <w:tc>
          <w:tcPr>
            <w:tcW w:w="845" w:type="dxa"/>
            <w:vMerge w:val="continue"/>
            <w:shd w:val="clear" w:color="auto" w:fill="auto"/>
            <w:vAlign w:val="center"/>
          </w:tcPr>
          <w:p>
            <w:pPr>
              <w:tabs>
                <w:tab w:val="left" w:pos="900"/>
              </w:tabs>
              <w:snapToGrid w:val="0"/>
              <w:spacing w:line="360" w:lineRule="exact"/>
              <w:jc w:val="center"/>
              <w:rPr>
                <w:rFonts w:ascii="Arial" w:hAnsi="Arial" w:eastAsia="宋体" w:cs="黑体"/>
                <w:bCs/>
                <w:color w:val="000000"/>
                <w:sz w:val="18"/>
                <w:szCs w:val="18"/>
                <w:highlight w:val="none"/>
              </w:rPr>
            </w:pPr>
          </w:p>
        </w:tc>
        <w:tc>
          <w:tcPr>
            <w:tcW w:w="2441" w:type="dxa"/>
            <w:vMerge w:val="continue"/>
            <w:shd w:val="clear" w:color="auto" w:fill="auto"/>
            <w:vAlign w:val="center"/>
          </w:tcPr>
          <w:p>
            <w:pPr>
              <w:tabs>
                <w:tab w:val="left" w:pos="900"/>
              </w:tabs>
              <w:snapToGrid w:val="0"/>
              <w:spacing w:line="360" w:lineRule="exact"/>
              <w:jc w:val="center"/>
              <w:rPr>
                <w:rFonts w:ascii="Arial" w:hAnsi="Arial" w:eastAsia="宋体" w:cs="黑体"/>
                <w:bCs/>
                <w:color w:val="000000"/>
                <w:sz w:val="18"/>
                <w:szCs w:val="18"/>
                <w:highlight w:val="none"/>
              </w:rPr>
            </w:pPr>
          </w:p>
        </w:tc>
        <w:tc>
          <w:tcPr>
            <w:tcW w:w="904" w:type="dxa"/>
            <w:vMerge w:val="continue"/>
            <w:shd w:val="clear" w:color="auto" w:fill="auto"/>
            <w:vAlign w:val="center"/>
          </w:tcPr>
          <w:p>
            <w:pPr>
              <w:tabs>
                <w:tab w:val="left" w:pos="900"/>
              </w:tabs>
              <w:snapToGrid w:val="0"/>
              <w:spacing w:line="360" w:lineRule="exact"/>
              <w:jc w:val="center"/>
              <w:rPr>
                <w:rFonts w:ascii="Arial" w:hAnsi="Arial" w:eastAsia="宋体" w:cs="黑体"/>
                <w:bCs/>
                <w:color w:val="000000"/>
                <w:sz w:val="18"/>
                <w:szCs w:val="18"/>
                <w:highlight w:val="none"/>
              </w:rPr>
            </w:pPr>
          </w:p>
        </w:tc>
        <w:tc>
          <w:tcPr>
            <w:tcW w:w="904" w:type="dxa"/>
            <w:vMerge w:val="continue"/>
            <w:shd w:val="clear" w:color="auto" w:fill="auto"/>
            <w:vAlign w:val="center"/>
          </w:tcPr>
          <w:p>
            <w:pPr>
              <w:tabs>
                <w:tab w:val="left" w:pos="900"/>
              </w:tabs>
              <w:snapToGrid w:val="0"/>
              <w:spacing w:line="360" w:lineRule="exact"/>
              <w:jc w:val="center"/>
              <w:rPr>
                <w:rFonts w:ascii="Arial" w:hAnsi="Arial" w:eastAsia="宋体" w:cs="黑体"/>
                <w:bCs/>
                <w:color w:val="000000"/>
                <w:sz w:val="18"/>
                <w:szCs w:val="18"/>
                <w:highlight w:val="none"/>
              </w:rPr>
            </w:pPr>
          </w:p>
        </w:tc>
        <w:tc>
          <w:tcPr>
            <w:tcW w:w="904" w:type="dxa"/>
            <w:vMerge w:val="continue"/>
            <w:shd w:val="clear" w:color="auto" w:fill="auto"/>
            <w:vAlign w:val="center"/>
          </w:tcPr>
          <w:p>
            <w:pPr>
              <w:tabs>
                <w:tab w:val="left" w:pos="900"/>
              </w:tabs>
              <w:snapToGrid w:val="0"/>
              <w:spacing w:line="360" w:lineRule="exact"/>
              <w:jc w:val="center"/>
              <w:rPr>
                <w:rFonts w:ascii="Arial" w:hAnsi="Arial" w:eastAsia="宋体" w:cs="黑体"/>
                <w:bCs/>
                <w:color w:val="000000"/>
                <w:sz w:val="18"/>
                <w:szCs w:val="18"/>
                <w:highlight w:val="none"/>
              </w:rPr>
            </w:pPr>
          </w:p>
        </w:tc>
        <w:tc>
          <w:tcPr>
            <w:tcW w:w="1336" w:type="dxa"/>
            <w:shd w:val="clear" w:color="auto" w:fill="auto"/>
            <w:vAlign w:val="center"/>
          </w:tcPr>
          <w:p>
            <w:pPr>
              <w:tabs>
                <w:tab w:val="left" w:pos="900"/>
              </w:tabs>
              <w:snapToGrid w:val="0"/>
              <w:spacing w:line="360" w:lineRule="exact"/>
              <w:jc w:val="center"/>
              <w:rPr>
                <w:rFonts w:ascii="Arial" w:hAnsi="Arial" w:eastAsia="宋体" w:cs="黑体"/>
                <w:bCs/>
                <w:color w:val="000000"/>
                <w:sz w:val="18"/>
                <w:szCs w:val="18"/>
                <w:highlight w:val="none"/>
              </w:rPr>
            </w:pPr>
            <w:r>
              <w:rPr>
                <w:rFonts w:hint="eastAsia" w:ascii="Arial" w:hAnsi="Arial" w:eastAsia="宋体" w:cs="黑体"/>
                <w:bCs/>
                <w:color w:val="000000"/>
                <w:sz w:val="18"/>
                <w:szCs w:val="18"/>
                <w:highlight w:val="none"/>
              </w:rPr>
              <w:t>电子邮件</w:t>
            </w:r>
          </w:p>
        </w:tc>
        <w:tc>
          <w:tcPr>
            <w:tcW w:w="1343" w:type="dxa"/>
            <w:shd w:val="clear" w:color="auto" w:fill="auto"/>
            <w:vAlign w:val="center"/>
          </w:tcPr>
          <w:p>
            <w:pPr>
              <w:tabs>
                <w:tab w:val="left" w:pos="900"/>
              </w:tabs>
              <w:snapToGrid w:val="0"/>
              <w:spacing w:line="360" w:lineRule="exact"/>
              <w:jc w:val="center"/>
              <w:rPr>
                <w:rFonts w:ascii="Arial" w:hAnsi="Arial" w:eastAsia="宋体" w:cs="黑体"/>
                <w:bCs/>
                <w:color w:val="000000"/>
                <w:sz w:val="18"/>
                <w:szCs w:val="18"/>
                <w:highlight w:val="none"/>
              </w:rPr>
            </w:pPr>
            <w:r>
              <w:rPr>
                <w:rFonts w:hint="eastAsia" w:ascii="Arial" w:hAnsi="Arial" w:eastAsia="宋体" w:cs="黑体"/>
                <w:bCs/>
                <w:color w:val="000000"/>
                <w:sz w:val="18"/>
                <w:szCs w:val="18"/>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17" w:type="dxa"/>
            <w:shd w:val="clear" w:color="auto" w:fill="auto"/>
            <w:vAlign w:val="center"/>
          </w:tcPr>
          <w:p>
            <w:pPr>
              <w:tabs>
                <w:tab w:val="left" w:pos="900"/>
              </w:tabs>
              <w:snapToGrid w:val="0"/>
              <w:jc w:val="center"/>
              <w:rPr>
                <w:rFonts w:ascii="Arial" w:hAnsi="Arial" w:eastAsia="宋体" w:cs="黑体"/>
                <w:bCs/>
                <w:color w:val="000000"/>
                <w:sz w:val="18"/>
                <w:szCs w:val="18"/>
                <w:highlight w:val="none"/>
              </w:rPr>
            </w:pPr>
            <w:r>
              <w:rPr>
                <w:rFonts w:hint="eastAsia" w:ascii="Arial" w:hAnsi="Arial" w:eastAsia="宋体" w:cs="黑体"/>
                <w:bCs/>
                <w:color w:val="000000"/>
                <w:sz w:val="18"/>
                <w:szCs w:val="18"/>
                <w:highlight w:val="none"/>
              </w:rPr>
              <w:t>1</w:t>
            </w:r>
          </w:p>
        </w:tc>
        <w:tc>
          <w:tcPr>
            <w:tcW w:w="845"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谢继勇</w:t>
            </w:r>
          </w:p>
        </w:tc>
        <w:tc>
          <w:tcPr>
            <w:tcW w:w="2441"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江西工业贸易职业技术学院</w:t>
            </w:r>
          </w:p>
        </w:tc>
        <w:tc>
          <w:tcPr>
            <w:tcW w:w="904"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p>
        </w:tc>
        <w:tc>
          <w:tcPr>
            <w:tcW w:w="904"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系主任</w:t>
            </w:r>
          </w:p>
        </w:tc>
        <w:tc>
          <w:tcPr>
            <w:tcW w:w="904"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主任</w:t>
            </w:r>
          </w:p>
        </w:tc>
        <w:tc>
          <w:tcPr>
            <w:tcW w:w="1336"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898471031@qq.com</w:t>
            </w:r>
          </w:p>
        </w:tc>
        <w:tc>
          <w:tcPr>
            <w:tcW w:w="1343"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13879118010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17" w:type="dxa"/>
            <w:shd w:val="clear" w:color="auto" w:fill="auto"/>
            <w:vAlign w:val="center"/>
          </w:tcPr>
          <w:p>
            <w:pPr>
              <w:tabs>
                <w:tab w:val="left" w:pos="900"/>
              </w:tabs>
              <w:snapToGrid w:val="0"/>
              <w:jc w:val="center"/>
              <w:rPr>
                <w:rFonts w:ascii="Arial" w:hAnsi="Arial" w:eastAsia="宋体" w:cs="黑体"/>
                <w:bCs/>
                <w:color w:val="000000"/>
                <w:sz w:val="18"/>
                <w:szCs w:val="18"/>
                <w:highlight w:val="none"/>
              </w:rPr>
            </w:pPr>
            <w:r>
              <w:rPr>
                <w:rFonts w:hint="eastAsia" w:ascii="Arial" w:hAnsi="Arial" w:eastAsia="宋体" w:cs="黑体"/>
                <w:bCs/>
                <w:color w:val="000000"/>
                <w:sz w:val="18"/>
                <w:szCs w:val="18"/>
                <w:highlight w:val="none"/>
              </w:rPr>
              <w:t>2</w:t>
            </w:r>
          </w:p>
        </w:tc>
        <w:tc>
          <w:tcPr>
            <w:tcW w:w="845"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傅菊春</w:t>
            </w:r>
          </w:p>
        </w:tc>
        <w:tc>
          <w:tcPr>
            <w:tcW w:w="2441"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江西工业贸易职业技术学院</w:t>
            </w:r>
          </w:p>
        </w:tc>
        <w:tc>
          <w:tcPr>
            <w:tcW w:w="904"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副教授</w:t>
            </w:r>
          </w:p>
        </w:tc>
        <w:tc>
          <w:tcPr>
            <w:tcW w:w="904"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系副主任</w:t>
            </w:r>
          </w:p>
        </w:tc>
        <w:tc>
          <w:tcPr>
            <w:tcW w:w="904"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副主任</w:t>
            </w:r>
          </w:p>
        </w:tc>
        <w:tc>
          <w:tcPr>
            <w:tcW w:w="1336"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274433906@qq.com</w:t>
            </w:r>
          </w:p>
        </w:tc>
        <w:tc>
          <w:tcPr>
            <w:tcW w:w="1343"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18070024862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17" w:type="dxa"/>
            <w:shd w:val="clear" w:color="auto" w:fill="auto"/>
            <w:vAlign w:val="center"/>
          </w:tcPr>
          <w:p>
            <w:pPr>
              <w:tabs>
                <w:tab w:val="left" w:pos="900"/>
              </w:tabs>
              <w:snapToGrid w:val="0"/>
              <w:jc w:val="center"/>
              <w:rPr>
                <w:rFonts w:ascii="Arial" w:hAnsi="Arial" w:eastAsia="宋体" w:cs="黑体"/>
                <w:bCs/>
                <w:color w:val="000000"/>
                <w:sz w:val="18"/>
                <w:szCs w:val="18"/>
                <w:highlight w:val="none"/>
              </w:rPr>
            </w:pPr>
            <w:r>
              <w:rPr>
                <w:rFonts w:hint="eastAsia" w:ascii="Arial" w:hAnsi="Arial" w:eastAsia="宋体" w:cs="黑体"/>
                <w:bCs/>
                <w:color w:val="000000"/>
                <w:sz w:val="18"/>
                <w:szCs w:val="18"/>
                <w:highlight w:val="none"/>
              </w:rPr>
              <w:t>3</w:t>
            </w:r>
          </w:p>
        </w:tc>
        <w:tc>
          <w:tcPr>
            <w:tcW w:w="845"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熊浩</w:t>
            </w:r>
          </w:p>
        </w:tc>
        <w:tc>
          <w:tcPr>
            <w:tcW w:w="2441"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江西工业贸易职业技术学院</w:t>
            </w:r>
          </w:p>
        </w:tc>
        <w:tc>
          <w:tcPr>
            <w:tcW w:w="904"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副教授、工程师</w:t>
            </w:r>
          </w:p>
        </w:tc>
        <w:tc>
          <w:tcPr>
            <w:tcW w:w="904" w:type="dxa"/>
            <w:shd w:val="clear" w:color="auto" w:fill="auto"/>
            <w:vAlign w:val="center"/>
          </w:tcPr>
          <w:p>
            <w:pPr>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教研室主任</w:t>
            </w:r>
          </w:p>
        </w:tc>
        <w:tc>
          <w:tcPr>
            <w:tcW w:w="904"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委员</w:t>
            </w:r>
          </w:p>
        </w:tc>
        <w:tc>
          <w:tcPr>
            <w:tcW w:w="1336"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37185639@qq.com</w:t>
            </w:r>
          </w:p>
        </w:tc>
        <w:tc>
          <w:tcPr>
            <w:tcW w:w="1343"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13767129618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17" w:type="dxa"/>
            <w:shd w:val="clear" w:color="auto" w:fill="auto"/>
            <w:vAlign w:val="center"/>
          </w:tcPr>
          <w:p>
            <w:pPr>
              <w:tabs>
                <w:tab w:val="left" w:pos="900"/>
              </w:tabs>
              <w:snapToGrid w:val="0"/>
              <w:jc w:val="center"/>
              <w:rPr>
                <w:rFonts w:ascii="Arial" w:hAnsi="Arial" w:eastAsia="宋体" w:cs="黑体"/>
                <w:bCs/>
                <w:color w:val="000000"/>
                <w:sz w:val="18"/>
                <w:szCs w:val="18"/>
                <w:highlight w:val="none"/>
              </w:rPr>
            </w:pPr>
            <w:r>
              <w:rPr>
                <w:rFonts w:hint="eastAsia" w:ascii="Arial" w:hAnsi="Arial" w:eastAsia="宋体" w:cs="黑体"/>
                <w:bCs/>
                <w:color w:val="000000"/>
                <w:sz w:val="18"/>
                <w:szCs w:val="18"/>
                <w:highlight w:val="none"/>
              </w:rPr>
              <w:t>4</w:t>
            </w:r>
          </w:p>
        </w:tc>
        <w:tc>
          <w:tcPr>
            <w:tcW w:w="845"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周静</w:t>
            </w:r>
          </w:p>
        </w:tc>
        <w:tc>
          <w:tcPr>
            <w:tcW w:w="2441"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鹏博士电信传媒集团股份有限公司上海分公司</w:t>
            </w:r>
          </w:p>
        </w:tc>
        <w:tc>
          <w:tcPr>
            <w:tcW w:w="904"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工程师</w:t>
            </w:r>
          </w:p>
        </w:tc>
        <w:tc>
          <w:tcPr>
            <w:tcW w:w="904"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经理</w:t>
            </w:r>
          </w:p>
        </w:tc>
        <w:tc>
          <w:tcPr>
            <w:tcW w:w="904"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委员</w:t>
            </w:r>
          </w:p>
        </w:tc>
        <w:tc>
          <w:tcPr>
            <w:tcW w:w="1336"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12024629@qq.com</w:t>
            </w:r>
          </w:p>
        </w:tc>
        <w:tc>
          <w:tcPr>
            <w:tcW w:w="1343"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13321905295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17" w:type="dxa"/>
            <w:shd w:val="clear" w:color="auto" w:fill="auto"/>
            <w:vAlign w:val="center"/>
          </w:tcPr>
          <w:p>
            <w:pPr>
              <w:tabs>
                <w:tab w:val="left" w:pos="900"/>
              </w:tabs>
              <w:snapToGrid w:val="0"/>
              <w:jc w:val="center"/>
              <w:rPr>
                <w:rFonts w:ascii="Arial" w:hAnsi="Arial" w:eastAsia="宋体" w:cs="黑体"/>
                <w:bCs/>
                <w:color w:val="000000"/>
                <w:sz w:val="18"/>
                <w:szCs w:val="18"/>
                <w:highlight w:val="none"/>
              </w:rPr>
            </w:pPr>
            <w:r>
              <w:rPr>
                <w:rFonts w:hint="eastAsia" w:ascii="Arial" w:hAnsi="Arial" w:eastAsia="宋体" w:cs="黑体"/>
                <w:bCs/>
                <w:color w:val="000000"/>
                <w:sz w:val="18"/>
                <w:szCs w:val="18"/>
                <w:highlight w:val="none"/>
              </w:rPr>
              <w:t>5</w:t>
            </w:r>
          </w:p>
        </w:tc>
        <w:tc>
          <w:tcPr>
            <w:tcW w:w="845"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陶绪洪</w:t>
            </w:r>
          </w:p>
        </w:tc>
        <w:tc>
          <w:tcPr>
            <w:tcW w:w="2441"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江西工业贸易职业技术学院</w:t>
            </w:r>
          </w:p>
        </w:tc>
        <w:tc>
          <w:tcPr>
            <w:tcW w:w="904"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副教授、工程师</w:t>
            </w:r>
          </w:p>
        </w:tc>
        <w:tc>
          <w:tcPr>
            <w:tcW w:w="904" w:type="dxa"/>
            <w:shd w:val="clear" w:color="auto" w:fill="auto"/>
            <w:vAlign w:val="center"/>
          </w:tcPr>
          <w:p>
            <w:pPr>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专业带头人</w:t>
            </w:r>
          </w:p>
        </w:tc>
        <w:tc>
          <w:tcPr>
            <w:tcW w:w="904"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委员</w:t>
            </w:r>
          </w:p>
        </w:tc>
        <w:tc>
          <w:tcPr>
            <w:tcW w:w="1336"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365151728@qq.com</w:t>
            </w:r>
          </w:p>
        </w:tc>
        <w:tc>
          <w:tcPr>
            <w:tcW w:w="1343" w:type="dxa"/>
            <w:shd w:val="clear" w:color="auto" w:fill="auto"/>
            <w:vAlign w:val="center"/>
          </w:tcPr>
          <w:p>
            <w:pPr>
              <w:tabs>
                <w:tab w:val="left" w:pos="900"/>
              </w:tabs>
              <w:snapToGrid w:val="0"/>
              <w:jc w:val="center"/>
              <w:rPr>
                <w:rFonts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13755657598</w:t>
            </w:r>
          </w:p>
        </w:tc>
      </w:tr>
    </w:tbl>
    <w:p>
      <w:pPr>
        <w:rPr>
          <w:rFonts w:ascii="宋体" w:hAnsi="宋体" w:eastAsia="宋体"/>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2179"/>
        <w:gridCol w:w="198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69" w:type="dxa"/>
            <w:vAlign w:val="center"/>
          </w:tcPr>
          <w:p>
            <w:pPr>
              <w:spacing w:line="480" w:lineRule="auto"/>
              <w:rPr>
                <w:rFonts w:ascii="Arial" w:hAnsi="Arial" w:eastAsia="宋体" w:cs="黑体"/>
                <w:color w:val="000000"/>
                <w:sz w:val="18"/>
                <w:szCs w:val="18"/>
                <w:highlight w:val="none"/>
              </w:rPr>
            </w:pPr>
            <w:r>
              <w:rPr>
                <w:rFonts w:hint="eastAsia" w:ascii="Arial" w:hAnsi="Arial" w:eastAsia="宋体" w:cs="黑体"/>
                <w:color w:val="000000"/>
                <w:sz w:val="18"/>
                <w:szCs w:val="18"/>
                <w:highlight w:val="none"/>
              </w:rPr>
              <w:t>执笔人签名：</w:t>
            </w:r>
          </w:p>
        </w:tc>
        <w:tc>
          <w:tcPr>
            <w:tcW w:w="2179" w:type="dxa"/>
            <w:vAlign w:val="center"/>
          </w:tcPr>
          <w:p>
            <w:pPr>
              <w:spacing w:line="480" w:lineRule="auto"/>
              <w:ind w:firstLine="720" w:firstLineChars="400"/>
              <w:rPr>
                <w:rFonts w:ascii="Segoe UI" w:hAnsi="Arial" w:eastAsia="宋体" w:cs="黑体"/>
                <w:b/>
                <w:color w:val="000000"/>
                <w:sz w:val="28"/>
                <w:szCs w:val="28"/>
                <w:highlight w:val="none"/>
              </w:rPr>
            </w:pPr>
            <w:r>
              <w:rPr>
                <w:rFonts w:hint="eastAsia" w:ascii="宋体" w:hAnsi="宋体" w:eastAsia="宋体" w:cs="宋体"/>
                <w:bCs/>
                <w:color w:val="000000"/>
                <w:sz w:val="18"/>
                <w:szCs w:val="18"/>
                <w:highlight w:val="none"/>
              </w:rPr>
              <w:t>熊浩</w:t>
            </w:r>
          </w:p>
        </w:tc>
        <w:tc>
          <w:tcPr>
            <w:tcW w:w="1980" w:type="dxa"/>
            <w:vAlign w:val="center"/>
          </w:tcPr>
          <w:p>
            <w:pPr>
              <w:spacing w:line="480" w:lineRule="auto"/>
              <w:rPr>
                <w:rFonts w:ascii="Arial" w:hAnsi="Arial" w:eastAsia="宋体" w:cs="黑体"/>
                <w:color w:val="000000"/>
                <w:sz w:val="18"/>
                <w:szCs w:val="18"/>
                <w:highlight w:val="none"/>
              </w:rPr>
            </w:pPr>
            <w:r>
              <w:rPr>
                <w:rFonts w:hint="eastAsia" w:ascii="Arial" w:hAnsi="Arial" w:eastAsia="宋体" w:cs="黑体"/>
                <w:color w:val="000000"/>
                <w:sz w:val="18"/>
                <w:szCs w:val="18"/>
                <w:highlight w:val="none"/>
              </w:rPr>
              <w:t>系主任审核：</w:t>
            </w:r>
          </w:p>
        </w:tc>
        <w:tc>
          <w:tcPr>
            <w:tcW w:w="2700" w:type="dxa"/>
            <w:vAlign w:val="center"/>
          </w:tcPr>
          <w:p>
            <w:pPr>
              <w:spacing w:line="480" w:lineRule="auto"/>
              <w:rPr>
                <w:rFonts w:ascii="Arial" w:hAnsi="Arial" w:eastAsia="宋体" w:cs="黑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69" w:type="dxa"/>
            <w:vAlign w:val="center"/>
          </w:tcPr>
          <w:p>
            <w:pPr>
              <w:spacing w:line="480" w:lineRule="auto"/>
              <w:rPr>
                <w:rFonts w:ascii="Arial" w:hAnsi="Arial" w:eastAsia="宋体" w:cs="黑体"/>
                <w:color w:val="000000"/>
                <w:sz w:val="18"/>
                <w:szCs w:val="18"/>
                <w:highlight w:val="none"/>
              </w:rPr>
            </w:pPr>
            <w:r>
              <w:rPr>
                <w:rFonts w:hint="eastAsia" w:ascii="Arial" w:hAnsi="Arial" w:eastAsia="宋体" w:cs="黑体"/>
                <w:color w:val="000000"/>
                <w:sz w:val="18"/>
                <w:szCs w:val="18"/>
                <w:highlight w:val="none"/>
              </w:rPr>
              <w:t>参与人员签名：</w:t>
            </w:r>
          </w:p>
        </w:tc>
        <w:tc>
          <w:tcPr>
            <w:tcW w:w="2179" w:type="dxa"/>
            <w:vAlign w:val="center"/>
          </w:tcPr>
          <w:p>
            <w:pPr>
              <w:spacing w:line="480" w:lineRule="auto"/>
              <w:rPr>
                <w:rFonts w:ascii="Arial" w:hAnsi="Arial" w:eastAsia="宋体" w:cs="黑体"/>
                <w:color w:val="000000"/>
                <w:sz w:val="18"/>
                <w:szCs w:val="18"/>
                <w:highlight w:val="none"/>
              </w:rPr>
            </w:pPr>
            <w:r>
              <w:rPr>
                <w:rFonts w:hint="eastAsia" w:ascii="Arial" w:hAnsi="Arial" w:eastAsia="宋体" w:cs="黑体"/>
                <w:color w:val="000000"/>
                <w:sz w:val="18"/>
                <w:szCs w:val="18"/>
                <w:highlight w:val="none"/>
              </w:rPr>
              <w:t xml:space="preserve">        </w:t>
            </w:r>
          </w:p>
        </w:tc>
        <w:tc>
          <w:tcPr>
            <w:tcW w:w="1980" w:type="dxa"/>
            <w:vAlign w:val="center"/>
          </w:tcPr>
          <w:p>
            <w:pPr>
              <w:spacing w:line="480" w:lineRule="auto"/>
              <w:rPr>
                <w:rFonts w:ascii="Arial" w:hAnsi="Arial" w:eastAsia="宋体" w:cs="黑体"/>
                <w:color w:val="000000"/>
                <w:sz w:val="18"/>
                <w:szCs w:val="18"/>
                <w:highlight w:val="none"/>
              </w:rPr>
            </w:pPr>
            <w:r>
              <w:rPr>
                <w:rFonts w:hint="eastAsia" w:ascii="Arial" w:hAnsi="Arial" w:eastAsia="宋体" w:cs="黑体"/>
                <w:color w:val="000000"/>
                <w:sz w:val="18"/>
                <w:szCs w:val="18"/>
                <w:highlight w:val="none"/>
              </w:rPr>
              <w:t>教学管理部门审核：</w:t>
            </w:r>
          </w:p>
        </w:tc>
        <w:tc>
          <w:tcPr>
            <w:tcW w:w="2700" w:type="dxa"/>
            <w:vAlign w:val="center"/>
          </w:tcPr>
          <w:p>
            <w:pPr>
              <w:spacing w:line="480" w:lineRule="auto"/>
              <w:rPr>
                <w:rFonts w:ascii="Arial" w:hAnsi="Arial" w:eastAsia="宋体" w:cs="黑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69" w:type="dxa"/>
            <w:vAlign w:val="center"/>
          </w:tcPr>
          <w:p>
            <w:pPr>
              <w:spacing w:line="480" w:lineRule="auto"/>
              <w:rPr>
                <w:rFonts w:ascii="Arial" w:hAnsi="Arial" w:eastAsia="宋体" w:cs="黑体"/>
                <w:color w:val="000000"/>
                <w:sz w:val="18"/>
                <w:szCs w:val="18"/>
                <w:highlight w:val="none"/>
              </w:rPr>
            </w:pPr>
            <w:r>
              <w:rPr>
                <w:rFonts w:hint="eastAsia" w:ascii="Arial" w:hAnsi="Arial" w:eastAsia="宋体" w:cs="黑体"/>
                <w:color w:val="000000"/>
                <w:sz w:val="18"/>
                <w:szCs w:val="18"/>
                <w:highlight w:val="none"/>
              </w:rPr>
              <w:t>专业负责人审核：</w:t>
            </w:r>
          </w:p>
        </w:tc>
        <w:tc>
          <w:tcPr>
            <w:tcW w:w="2179" w:type="dxa"/>
            <w:vAlign w:val="center"/>
          </w:tcPr>
          <w:p>
            <w:pPr>
              <w:spacing w:line="480" w:lineRule="auto"/>
              <w:ind w:firstLine="990" w:firstLineChars="550"/>
              <w:rPr>
                <w:rFonts w:ascii="Arial" w:hAnsi="Arial" w:eastAsia="宋体" w:cs="黑体"/>
                <w:color w:val="000000"/>
                <w:sz w:val="18"/>
                <w:szCs w:val="18"/>
                <w:highlight w:val="none"/>
              </w:rPr>
            </w:pPr>
          </w:p>
        </w:tc>
        <w:tc>
          <w:tcPr>
            <w:tcW w:w="1980" w:type="dxa"/>
            <w:vAlign w:val="center"/>
          </w:tcPr>
          <w:p>
            <w:pPr>
              <w:spacing w:line="480" w:lineRule="auto"/>
              <w:rPr>
                <w:rFonts w:ascii="Arial" w:hAnsi="Arial" w:eastAsia="宋体" w:cs="黑体"/>
                <w:color w:val="000000"/>
                <w:sz w:val="18"/>
                <w:szCs w:val="18"/>
                <w:highlight w:val="none"/>
              </w:rPr>
            </w:pPr>
            <w:r>
              <w:rPr>
                <w:rFonts w:hint="eastAsia" w:ascii="Arial" w:hAnsi="Arial" w:eastAsia="宋体" w:cs="黑体"/>
                <w:color w:val="000000"/>
                <w:sz w:val="18"/>
                <w:szCs w:val="18"/>
                <w:highlight w:val="none"/>
              </w:rPr>
              <w:t>教学副院长审核：</w:t>
            </w:r>
          </w:p>
        </w:tc>
        <w:tc>
          <w:tcPr>
            <w:tcW w:w="2700" w:type="dxa"/>
            <w:vAlign w:val="center"/>
          </w:tcPr>
          <w:p>
            <w:pPr>
              <w:spacing w:line="480" w:lineRule="auto"/>
              <w:rPr>
                <w:rFonts w:ascii="Arial" w:hAnsi="Arial" w:eastAsia="宋体" w:cs="黑体"/>
                <w:color w:val="000000"/>
                <w:sz w:val="18"/>
                <w:szCs w:val="18"/>
                <w:highlight w:val="none"/>
              </w:rPr>
            </w:pPr>
          </w:p>
        </w:tc>
      </w:tr>
    </w:tbl>
    <w:p>
      <w:pPr>
        <w:rPr>
          <w:rFonts w:ascii="宋体" w:hAnsi="宋体" w:eastAsia="宋体"/>
          <w:highlight w:val="none"/>
        </w:rPr>
      </w:pPr>
    </w:p>
    <w:sectPr>
      <w:headerReference r:id="rId3" w:type="default"/>
      <w:footerReference r:id="rId4" w:type="default"/>
      <w:footerReference r:id="rId5" w:type="even"/>
      <w:pgSz w:w="11906" w:h="16838"/>
      <w:pgMar w:top="2098" w:right="1474" w:bottom="1985" w:left="181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34010" cy="172720"/>
              <wp:effectExtent l="0" t="0" r="0"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34010" cy="17272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- 14 -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3.6pt;width:26.3pt;mso-position-horizontal:outside;mso-position-horizontal-relative:margin;mso-wrap-style:none;z-index:251659264;mso-width-relative:page;mso-height-relative:page;" filled="f" stroked="f" coordsize="21600,21600" o:gfxdata="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jPHdEAAAADAQAADwAAAAAAAAABACAAAAAiAAAAZHJzL2Rv&#10;d25yZXYueG1sUEsBAhQAFAAAAAgAh07iQK79UWQIAgAAAgQAAA4AAAAAAAAAAQAgAAAAIAEAAGRy&#10;cy9lMm9Eb2MueG1sUEsFBgAAAAAGAAYAWQEAAJo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- 14 -</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1C7CB8"/>
    <w:multiLevelType w:val="singleLevel"/>
    <w:tmpl w:val="AC1C7CB8"/>
    <w:lvl w:ilvl="0" w:tentative="0">
      <w:start w:val="1"/>
      <w:numFmt w:val="decimal"/>
      <w:suff w:val="nothing"/>
      <w:lvlText w:val="（%1）"/>
      <w:lvlJc w:val="left"/>
    </w:lvl>
  </w:abstractNum>
  <w:abstractNum w:abstractNumId="1">
    <w:nsid w:val="03F657C5"/>
    <w:multiLevelType w:val="singleLevel"/>
    <w:tmpl w:val="03F657C5"/>
    <w:lvl w:ilvl="0" w:tentative="0">
      <w:start w:val="2"/>
      <w:numFmt w:val="chineseCounting"/>
      <w:suff w:val="nothing"/>
      <w:lvlText w:val="（%1）"/>
      <w:lvlJc w:val="left"/>
      <w:rPr>
        <w:rFonts w:hint="eastAsia"/>
      </w:rPr>
    </w:lvl>
  </w:abstractNum>
  <w:abstractNum w:abstractNumId="2">
    <w:nsid w:val="17E31010"/>
    <w:multiLevelType w:val="multilevel"/>
    <w:tmpl w:val="17E31010"/>
    <w:lvl w:ilvl="0" w:tentative="0">
      <w:start w:val="5"/>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2D7C32C0"/>
    <w:multiLevelType w:val="multilevel"/>
    <w:tmpl w:val="2D7C32C0"/>
    <w:lvl w:ilvl="0" w:tentative="0">
      <w:start w:val="1"/>
      <w:numFmt w:val="decimal"/>
      <w:suff w:val="nothing"/>
      <w:lvlText w:val=" %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5662EE6"/>
    <w:multiLevelType w:val="multilevel"/>
    <w:tmpl w:val="45662EE6"/>
    <w:lvl w:ilvl="0" w:tentative="0">
      <w:start w:val="3"/>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FB35D71"/>
    <w:multiLevelType w:val="multilevel"/>
    <w:tmpl w:val="4FB35D7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57313837"/>
    <w:multiLevelType w:val="singleLevel"/>
    <w:tmpl w:val="57313837"/>
    <w:lvl w:ilvl="0" w:tentative="0">
      <w:start w:val="1"/>
      <w:numFmt w:val="chineseCounting"/>
      <w:suff w:val="nothing"/>
      <w:lvlText w:val="（%1）"/>
      <w:lvlJc w:val="left"/>
    </w:lvl>
  </w:abstractNum>
  <w:abstractNum w:abstractNumId="7">
    <w:nsid w:val="592E2EE5"/>
    <w:multiLevelType w:val="singleLevel"/>
    <w:tmpl w:val="592E2EE5"/>
    <w:lvl w:ilvl="0" w:tentative="0">
      <w:start w:val="1"/>
      <w:numFmt w:val="decimal"/>
      <w:suff w:val="nothing"/>
      <w:lvlText w:val="%1."/>
      <w:lvlJc w:val="left"/>
    </w:lvl>
  </w:abstractNum>
  <w:abstractNum w:abstractNumId="8">
    <w:nsid w:val="598A8DE9"/>
    <w:multiLevelType w:val="singleLevel"/>
    <w:tmpl w:val="598A8DE9"/>
    <w:lvl w:ilvl="0" w:tentative="0">
      <w:start w:val="1"/>
      <w:numFmt w:val="decimal"/>
      <w:suff w:val="nothing"/>
      <w:lvlText w:val="（%1）"/>
      <w:lvlJc w:val="left"/>
    </w:lvl>
  </w:abstractNum>
  <w:abstractNum w:abstractNumId="9">
    <w:nsid w:val="598D3214"/>
    <w:multiLevelType w:val="singleLevel"/>
    <w:tmpl w:val="598D3214"/>
    <w:lvl w:ilvl="0" w:tentative="0">
      <w:start w:val="1"/>
      <w:numFmt w:val="decimal"/>
      <w:suff w:val="nothing"/>
      <w:lvlText w:val="（%1）"/>
      <w:lvlJc w:val="left"/>
    </w:lvl>
  </w:abstractNum>
  <w:abstractNum w:abstractNumId="10">
    <w:nsid w:val="598D37EE"/>
    <w:multiLevelType w:val="singleLevel"/>
    <w:tmpl w:val="598D37EE"/>
    <w:lvl w:ilvl="0" w:tentative="0">
      <w:start w:val="1"/>
      <w:numFmt w:val="decimal"/>
      <w:suff w:val="nothing"/>
      <w:lvlText w:val="（%1）"/>
      <w:lvlJc w:val="left"/>
    </w:lvl>
  </w:abstractNum>
  <w:num w:numId="1">
    <w:abstractNumId w:val="1"/>
  </w:num>
  <w:num w:numId="2">
    <w:abstractNumId w:val="4"/>
  </w:num>
  <w:num w:numId="3">
    <w:abstractNumId w:val="0"/>
  </w:num>
  <w:num w:numId="4">
    <w:abstractNumId w:val="7"/>
  </w:num>
  <w:num w:numId="5">
    <w:abstractNumId w:val="2"/>
  </w:num>
  <w:num w:numId="6">
    <w:abstractNumId w:val="6"/>
  </w:num>
  <w:num w:numId="7">
    <w:abstractNumId w:val="3"/>
  </w:num>
  <w:num w:numId="8">
    <w:abstractNumId w:val="5"/>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2DF"/>
    <w:rsid w:val="000052E8"/>
    <w:rsid w:val="00005E45"/>
    <w:rsid w:val="000070BA"/>
    <w:rsid w:val="00015A5B"/>
    <w:rsid w:val="00015D16"/>
    <w:rsid w:val="00016979"/>
    <w:rsid w:val="000173DA"/>
    <w:rsid w:val="000207BD"/>
    <w:rsid w:val="000229BE"/>
    <w:rsid w:val="0002512D"/>
    <w:rsid w:val="00032257"/>
    <w:rsid w:val="00034AA9"/>
    <w:rsid w:val="000362D9"/>
    <w:rsid w:val="00037F68"/>
    <w:rsid w:val="00044DA2"/>
    <w:rsid w:val="00046922"/>
    <w:rsid w:val="00061076"/>
    <w:rsid w:val="000643BF"/>
    <w:rsid w:val="000721FF"/>
    <w:rsid w:val="00077817"/>
    <w:rsid w:val="00077E66"/>
    <w:rsid w:val="00082BA3"/>
    <w:rsid w:val="000A12C1"/>
    <w:rsid w:val="000A2398"/>
    <w:rsid w:val="000A661C"/>
    <w:rsid w:val="000B03FA"/>
    <w:rsid w:val="000B3F48"/>
    <w:rsid w:val="000B7E87"/>
    <w:rsid w:val="000C124E"/>
    <w:rsid w:val="000C2AA2"/>
    <w:rsid w:val="000C548B"/>
    <w:rsid w:val="000D3DEA"/>
    <w:rsid w:val="000D4481"/>
    <w:rsid w:val="000E219F"/>
    <w:rsid w:val="000E42FB"/>
    <w:rsid w:val="000E56C1"/>
    <w:rsid w:val="000E5EA0"/>
    <w:rsid w:val="000E70BC"/>
    <w:rsid w:val="000F1BC0"/>
    <w:rsid w:val="00106DFC"/>
    <w:rsid w:val="001137AF"/>
    <w:rsid w:val="00123B41"/>
    <w:rsid w:val="00124E1C"/>
    <w:rsid w:val="0012571B"/>
    <w:rsid w:val="00133AAF"/>
    <w:rsid w:val="001460A3"/>
    <w:rsid w:val="0015186A"/>
    <w:rsid w:val="00152BC7"/>
    <w:rsid w:val="00152E4F"/>
    <w:rsid w:val="00153BB0"/>
    <w:rsid w:val="00160024"/>
    <w:rsid w:val="001621E5"/>
    <w:rsid w:val="0016313D"/>
    <w:rsid w:val="00171919"/>
    <w:rsid w:val="0017280B"/>
    <w:rsid w:val="00172A27"/>
    <w:rsid w:val="001737EC"/>
    <w:rsid w:val="00175F4E"/>
    <w:rsid w:val="0018040A"/>
    <w:rsid w:val="00190AF8"/>
    <w:rsid w:val="001972EE"/>
    <w:rsid w:val="001B0328"/>
    <w:rsid w:val="001B2B10"/>
    <w:rsid w:val="001B35D8"/>
    <w:rsid w:val="001C0E50"/>
    <w:rsid w:val="001C5B12"/>
    <w:rsid w:val="001D27E0"/>
    <w:rsid w:val="001D2FB2"/>
    <w:rsid w:val="001D5318"/>
    <w:rsid w:val="001E4420"/>
    <w:rsid w:val="001E708B"/>
    <w:rsid w:val="00201743"/>
    <w:rsid w:val="0020393C"/>
    <w:rsid w:val="00205C7B"/>
    <w:rsid w:val="002102D2"/>
    <w:rsid w:val="00210DEF"/>
    <w:rsid w:val="00212130"/>
    <w:rsid w:val="002122EA"/>
    <w:rsid w:val="002132A4"/>
    <w:rsid w:val="00215E73"/>
    <w:rsid w:val="00216B50"/>
    <w:rsid w:val="00225D36"/>
    <w:rsid w:val="002426D1"/>
    <w:rsid w:val="0024290C"/>
    <w:rsid w:val="00245DFE"/>
    <w:rsid w:val="00250743"/>
    <w:rsid w:val="00254601"/>
    <w:rsid w:val="00254F66"/>
    <w:rsid w:val="002605AA"/>
    <w:rsid w:val="00263512"/>
    <w:rsid w:val="00263BC9"/>
    <w:rsid w:val="002828C0"/>
    <w:rsid w:val="0028354D"/>
    <w:rsid w:val="0028433C"/>
    <w:rsid w:val="00294A38"/>
    <w:rsid w:val="00297B63"/>
    <w:rsid w:val="002A3226"/>
    <w:rsid w:val="002A3F76"/>
    <w:rsid w:val="002A500D"/>
    <w:rsid w:val="002A6A1E"/>
    <w:rsid w:val="002B1D68"/>
    <w:rsid w:val="002B66A0"/>
    <w:rsid w:val="002C2AE6"/>
    <w:rsid w:val="002C44F6"/>
    <w:rsid w:val="002C5925"/>
    <w:rsid w:val="002C5CC4"/>
    <w:rsid w:val="002D0373"/>
    <w:rsid w:val="002D0A09"/>
    <w:rsid w:val="002D7BC9"/>
    <w:rsid w:val="002E0F64"/>
    <w:rsid w:val="002E1C76"/>
    <w:rsid w:val="002F0094"/>
    <w:rsid w:val="002F1984"/>
    <w:rsid w:val="002F1CA4"/>
    <w:rsid w:val="002F5584"/>
    <w:rsid w:val="003045F4"/>
    <w:rsid w:val="003061B6"/>
    <w:rsid w:val="003078A6"/>
    <w:rsid w:val="00310D1B"/>
    <w:rsid w:val="0031382A"/>
    <w:rsid w:val="0031408E"/>
    <w:rsid w:val="00315D30"/>
    <w:rsid w:val="003177DD"/>
    <w:rsid w:val="00317EA8"/>
    <w:rsid w:val="003219C3"/>
    <w:rsid w:val="00323368"/>
    <w:rsid w:val="003252C7"/>
    <w:rsid w:val="003265CE"/>
    <w:rsid w:val="00326AE7"/>
    <w:rsid w:val="00327CD7"/>
    <w:rsid w:val="003315FA"/>
    <w:rsid w:val="00333E33"/>
    <w:rsid w:val="003467E1"/>
    <w:rsid w:val="0035022B"/>
    <w:rsid w:val="003525DA"/>
    <w:rsid w:val="0035511C"/>
    <w:rsid w:val="0036052B"/>
    <w:rsid w:val="00360B83"/>
    <w:rsid w:val="003754C4"/>
    <w:rsid w:val="003777F6"/>
    <w:rsid w:val="003778C6"/>
    <w:rsid w:val="00381E3A"/>
    <w:rsid w:val="00382725"/>
    <w:rsid w:val="00394D6D"/>
    <w:rsid w:val="00396C91"/>
    <w:rsid w:val="00397EA2"/>
    <w:rsid w:val="003A644B"/>
    <w:rsid w:val="003B0DE9"/>
    <w:rsid w:val="003C4474"/>
    <w:rsid w:val="003D5C9A"/>
    <w:rsid w:val="003D7F72"/>
    <w:rsid w:val="003E3774"/>
    <w:rsid w:val="003E60FE"/>
    <w:rsid w:val="003E70B3"/>
    <w:rsid w:val="003F6869"/>
    <w:rsid w:val="003F73E6"/>
    <w:rsid w:val="004019AA"/>
    <w:rsid w:val="00405019"/>
    <w:rsid w:val="004058A7"/>
    <w:rsid w:val="00407BB0"/>
    <w:rsid w:val="00411A54"/>
    <w:rsid w:val="00423BC9"/>
    <w:rsid w:val="00433938"/>
    <w:rsid w:val="00433EF6"/>
    <w:rsid w:val="00437A75"/>
    <w:rsid w:val="00437BB8"/>
    <w:rsid w:val="004413EC"/>
    <w:rsid w:val="00441FCE"/>
    <w:rsid w:val="0044513F"/>
    <w:rsid w:val="00455CFF"/>
    <w:rsid w:val="004753BF"/>
    <w:rsid w:val="00481E7A"/>
    <w:rsid w:val="00483B97"/>
    <w:rsid w:val="00483F86"/>
    <w:rsid w:val="004854A3"/>
    <w:rsid w:val="004875B1"/>
    <w:rsid w:val="00497171"/>
    <w:rsid w:val="004974E8"/>
    <w:rsid w:val="004A13E3"/>
    <w:rsid w:val="004A1F83"/>
    <w:rsid w:val="004B3088"/>
    <w:rsid w:val="004C1285"/>
    <w:rsid w:val="004C1DC4"/>
    <w:rsid w:val="004C333E"/>
    <w:rsid w:val="004C360E"/>
    <w:rsid w:val="004C563F"/>
    <w:rsid w:val="004C7A72"/>
    <w:rsid w:val="004D24EE"/>
    <w:rsid w:val="004E26F8"/>
    <w:rsid w:val="004E4B84"/>
    <w:rsid w:val="004E5DFB"/>
    <w:rsid w:val="004F3B8B"/>
    <w:rsid w:val="005010EE"/>
    <w:rsid w:val="0050219D"/>
    <w:rsid w:val="00502F72"/>
    <w:rsid w:val="00506C1E"/>
    <w:rsid w:val="00513AF2"/>
    <w:rsid w:val="00515A6C"/>
    <w:rsid w:val="00521287"/>
    <w:rsid w:val="00522DD7"/>
    <w:rsid w:val="00526680"/>
    <w:rsid w:val="0053694F"/>
    <w:rsid w:val="00537509"/>
    <w:rsid w:val="00546C76"/>
    <w:rsid w:val="00557A19"/>
    <w:rsid w:val="00562E0B"/>
    <w:rsid w:val="00566259"/>
    <w:rsid w:val="00572D46"/>
    <w:rsid w:val="00574BAB"/>
    <w:rsid w:val="00575CEF"/>
    <w:rsid w:val="00576F98"/>
    <w:rsid w:val="00577DDF"/>
    <w:rsid w:val="00582387"/>
    <w:rsid w:val="0058247E"/>
    <w:rsid w:val="00583D00"/>
    <w:rsid w:val="005922E3"/>
    <w:rsid w:val="005930D7"/>
    <w:rsid w:val="0059374E"/>
    <w:rsid w:val="0059538B"/>
    <w:rsid w:val="005956AB"/>
    <w:rsid w:val="005A00FF"/>
    <w:rsid w:val="005A33B0"/>
    <w:rsid w:val="005A3B3E"/>
    <w:rsid w:val="005A6934"/>
    <w:rsid w:val="005B79B5"/>
    <w:rsid w:val="005C0626"/>
    <w:rsid w:val="005C38B8"/>
    <w:rsid w:val="005D0BC0"/>
    <w:rsid w:val="005D23F9"/>
    <w:rsid w:val="005D2A09"/>
    <w:rsid w:val="005E02F9"/>
    <w:rsid w:val="005E0FFA"/>
    <w:rsid w:val="005E2E98"/>
    <w:rsid w:val="005E3704"/>
    <w:rsid w:val="005E54FB"/>
    <w:rsid w:val="005E7D91"/>
    <w:rsid w:val="005F0296"/>
    <w:rsid w:val="005F4ED7"/>
    <w:rsid w:val="005F7BE1"/>
    <w:rsid w:val="005F7FD6"/>
    <w:rsid w:val="006016F1"/>
    <w:rsid w:val="00602FCF"/>
    <w:rsid w:val="00611935"/>
    <w:rsid w:val="00617D2B"/>
    <w:rsid w:val="00620F6F"/>
    <w:rsid w:val="00626A53"/>
    <w:rsid w:val="006273CE"/>
    <w:rsid w:val="00630AAB"/>
    <w:rsid w:val="00630DFE"/>
    <w:rsid w:val="0063122C"/>
    <w:rsid w:val="006334A0"/>
    <w:rsid w:val="006355A0"/>
    <w:rsid w:val="00637D02"/>
    <w:rsid w:val="00657C25"/>
    <w:rsid w:val="00662D56"/>
    <w:rsid w:val="00670CDE"/>
    <w:rsid w:val="0068260C"/>
    <w:rsid w:val="00687EA4"/>
    <w:rsid w:val="006946D1"/>
    <w:rsid w:val="00695BA7"/>
    <w:rsid w:val="00697E2B"/>
    <w:rsid w:val="006A0BFB"/>
    <w:rsid w:val="006A22DD"/>
    <w:rsid w:val="006A4488"/>
    <w:rsid w:val="006A4EC0"/>
    <w:rsid w:val="006A5D80"/>
    <w:rsid w:val="006B6E4C"/>
    <w:rsid w:val="006C1842"/>
    <w:rsid w:val="006C1DC2"/>
    <w:rsid w:val="006C3488"/>
    <w:rsid w:val="006C3E85"/>
    <w:rsid w:val="006C448B"/>
    <w:rsid w:val="006C4AC3"/>
    <w:rsid w:val="006D26CB"/>
    <w:rsid w:val="006D308F"/>
    <w:rsid w:val="006D42C8"/>
    <w:rsid w:val="006D6348"/>
    <w:rsid w:val="006E6A69"/>
    <w:rsid w:val="006F066A"/>
    <w:rsid w:val="006F21A5"/>
    <w:rsid w:val="006F5DA3"/>
    <w:rsid w:val="00711648"/>
    <w:rsid w:val="00713068"/>
    <w:rsid w:val="00716EAB"/>
    <w:rsid w:val="00722200"/>
    <w:rsid w:val="0072316A"/>
    <w:rsid w:val="007250EA"/>
    <w:rsid w:val="007272E7"/>
    <w:rsid w:val="00740F31"/>
    <w:rsid w:val="00747CD0"/>
    <w:rsid w:val="00750275"/>
    <w:rsid w:val="00752B3D"/>
    <w:rsid w:val="00754547"/>
    <w:rsid w:val="0075554C"/>
    <w:rsid w:val="00762A5B"/>
    <w:rsid w:val="007636E6"/>
    <w:rsid w:val="0076625A"/>
    <w:rsid w:val="00767561"/>
    <w:rsid w:val="007722E5"/>
    <w:rsid w:val="00772622"/>
    <w:rsid w:val="00773F7D"/>
    <w:rsid w:val="007767A0"/>
    <w:rsid w:val="007854E8"/>
    <w:rsid w:val="00792C6F"/>
    <w:rsid w:val="0079440B"/>
    <w:rsid w:val="007B14AB"/>
    <w:rsid w:val="007B4A6B"/>
    <w:rsid w:val="007B67D1"/>
    <w:rsid w:val="007B7438"/>
    <w:rsid w:val="007C1BFB"/>
    <w:rsid w:val="007C73A0"/>
    <w:rsid w:val="007E2BA4"/>
    <w:rsid w:val="007E68E6"/>
    <w:rsid w:val="007F5415"/>
    <w:rsid w:val="00803B57"/>
    <w:rsid w:val="0080656A"/>
    <w:rsid w:val="008074CE"/>
    <w:rsid w:val="00807FC7"/>
    <w:rsid w:val="008120DC"/>
    <w:rsid w:val="008136D6"/>
    <w:rsid w:val="008157D9"/>
    <w:rsid w:val="008165F8"/>
    <w:rsid w:val="00817F8A"/>
    <w:rsid w:val="008205BE"/>
    <w:rsid w:val="00821363"/>
    <w:rsid w:val="00824C6F"/>
    <w:rsid w:val="00825406"/>
    <w:rsid w:val="00834495"/>
    <w:rsid w:val="0084206E"/>
    <w:rsid w:val="0084284B"/>
    <w:rsid w:val="0084642A"/>
    <w:rsid w:val="008535F2"/>
    <w:rsid w:val="00854989"/>
    <w:rsid w:val="00854F34"/>
    <w:rsid w:val="008575D1"/>
    <w:rsid w:val="0086492B"/>
    <w:rsid w:val="008674DC"/>
    <w:rsid w:val="008725A9"/>
    <w:rsid w:val="008728DC"/>
    <w:rsid w:val="00873779"/>
    <w:rsid w:val="00873E2E"/>
    <w:rsid w:val="0087697C"/>
    <w:rsid w:val="008966CF"/>
    <w:rsid w:val="0089779F"/>
    <w:rsid w:val="008A2254"/>
    <w:rsid w:val="008A26A2"/>
    <w:rsid w:val="008A2A07"/>
    <w:rsid w:val="008A52AC"/>
    <w:rsid w:val="008B0E7C"/>
    <w:rsid w:val="008B2640"/>
    <w:rsid w:val="008B3332"/>
    <w:rsid w:val="008B39F3"/>
    <w:rsid w:val="008B6D08"/>
    <w:rsid w:val="008C13E8"/>
    <w:rsid w:val="008C2B1E"/>
    <w:rsid w:val="008C51E9"/>
    <w:rsid w:val="008C6A9E"/>
    <w:rsid w:val="008E46BA"/>
    <w:rsid w:val="008F5C26"/>
    <w:rsid w:val="009000EE"/>
    <w:rsid w:val="009001F1"/>
    <w:rsid w:val="00914A96"/>
    <w:rsid w:val="009175B0"/>
    <w:rsid w:val="009179F5"/>
    <w:rsid w:val="00921BB2"/>
    <w:rsid w:val="00922DB0"/>
    <w:rsid w:val="00937FCB"/>
    <w:rsid w:val="00941CE0"/>
    <w:rsid w:val="00952845"/>
    <w:rsid w:val="00960BEB"/>
    <w:rsid w:val="00962C9B"/>
    <w:rsid w:val="00970968"/>
    <w:rsid w:val="00972EAA"/>
    <w:rsid w:val="00974DD2"/>
    <w:rsid w:val="00977128"/>
    <w:rsid w:val="00983348"/>
    <w:rsid w:val="0098558E"/>
    <w:rsid w:val="00987F13"/>
    <w:rsid w:val="00990C96"/>
    <w:rsid w:val="00990FAC"/>
    <w:rsid w:val="00994C86"/>
    <w:rsid w:val="009A182F"/>
    <w:rsid w:val="009B1E25"/>
    <w:rsid w:val="009B1EB8"/>
    <w:rsid w:val="009B5170"/>
    <w:rsid w:val="009B56F0"/>
    <w:rsid w:val="009C6210"/>
    <w:rsid w:val="009D0F41"/>
    <w:rsid w:val="009D17A0"/>
    <w:rsid w:val="009D2921"/>
    <w:rsid w:val="009D3E98"/>
    <w:rsid w:val="009D4541"/>
    <w:rsid w:val="009D5A67"/>
    <w:rsid w:val="009D6BDB"/>
    <w:rsid w:val="009E396B"/>
    <w:rsid w:val="009E4BEA"/>
    <w:rsid w:val="009E730E"/>
    <w:rsid w:val="009E76AC"/>
    <w:rsid w:val="009F340B"/>
    <w:rsid w:val="009F4602"/>
    <w:rsid w:val="009F4B1E"/>
    <w:rsid w:val="00A05E58"/>
    <w:rsid w:val="00A1184E"/>
    <w:rsid w:val="00A15C5A"/>
    <w:rsid w:val="00A269D7"/>
    <w:rsid w:val="00A27C2E"/>
    <w:rsid w:val="00A35839"/>
    <w:rsid w:val="00A403EA"/>
    <w:rsid w:val="00A41688"/>
    <w:rsid w:val="00A41F02"/>
    <w:rsid w:val="00A469C4"/>
    <w:rsid w:val="00A51C8F"/>
    <w:rsid w:val="00A5629A"/>
    <w:rsid w:val="00A612CD"/>
    <w:rsid w:val="00A63177"/>
    <w:rsid w:val="00A64DE7"/>
    <w:rsid w:val="00A7259A"/>
    <w:rsid w:val="00A729EC"/>
    <w:rsid w:val="00A74531"/>
    <w:rsid w:val="00A80CEB"/>
    <w:rsid w:val="00A8178A"/>
    <w:rsid w:val="00A81F3C"/>
    <w:rsid w:val="00A904BB"/>
    <w:rsid w:val="00A91E5F"/>
    <w:rsid w:val="00A92CD4"/>
    <w:rsid w:val="00A93116"/>
    <w:rsid w:val="00A9342E"/>
    <w:rsid w:val="00A9472B"/>
    <w:rsid w:val="00AA3FC4"/>
    <w:rsid w:val="00AA4DA7"/>
    <w:rsid w:val="00AB22AF"/>
    <w:rsid w:val="00AC2897"/>
    <w:rsid w:val="00AC6052"/>
    <w:rsid w:val="00AD1D81"/>
    <w:rsid w:val="00AD3EA0"/>
    <w:rsid w:val="00AE0711"/>
    <w:rsid w:val="00AE2A55"/>
    <w:rsid w:val="00AF688C"/>
    <w:rsid w:val="00B063E9"/>
    <w:rsid w:val="00B06873"/>
    <w:rsid w:val="00B109BA"/>
    <w:rsid w:val="00B10C51"/>
    <w:rsid w:val="00B1316D"/>
    <w:rsid w:val="00B13429"/>
    <w:rsid w:val="00B1342D"/>
    <w:rsid w:val="00B21F65"/>
    <w:rsid w:val="00B254B0"/>
    <w:rsid w:val="00B2643D"/>
    <w:rsid w:val="00B34136"/>
    <w:rsid w:val="00B341FB"/>
    <w:rsid w:val="00B35F65"/>
    <w:rsid w:val="00B36D8D"/>
    <w:rsid w:val="00B377F8"/>
    <w:rsid w:val="00B40C4D"/>
    <w:rsid w:val="00B45AE8"/>
    <w:rsid w:val="00B5044F"/>
    <w:rsid w:val="00B5271D"/>
    <w:rsid w:val="00B60506"/>
    <w:rsid w:val="00B60F54"/>
    <w:rsid w:val="00B6559D"/>
    <w:rsid w:val="00B71A1C"/>
    <w:rsid w:val="00B76FBD"/>
    <w:rsid w:val="00B77284"/>
    <w:rsid w:val="00B77B7A"/>
    <w:rsid w:val="00B836C0"/>
    <w:rsid w:val="00B93683"/>
    <w:rsid w:val="00B9452C"/>
    <w:rsid w:val="00B94F31"/>
    <w:rsid w:val="00B95DD4"/>
    <w:rsid w:val="00BA57C8"/>
    <w:rsid w:val="00BB4078"/>
    <w:rsid w:val="00BC7217"/>
    <w:rsid w:val="00BD0E2D"/>
    <w:rsid w:val="00BE0147"/>
    <w:rsid w:val="00BF27B2"/>
    <w:rsid w:val="00BF5C25"/>
    <w:rsid w:val="00BF77E0"/>
    <w:rsid w:val="00C0067C"/>
    <w:rsid w:val="00C0435F"/>
    <w:rsid w:val="00C10603"/>
    <w:rsid w:val="00C15169"/>
    <w:rsid w:val="00C20C09"/>
    <w:rsid w:val="00C3375E"/>
    <w:rsid w:val="00C41B60"/>
    <w:rsid w:val="00C4491B"/>
    <w:rsid w:val="00C453CA"/>
    <w:rsid w:val="00C53D85"/>
    <w:rsid w:val="00C54C98"/>
    <w:rsid w:val="00C60ABC"/>
    <w:rsid w:val="00C60DAB"/>
    <w:rsid w:val="00C650D0"/>
    <w:rsid w:val="00C65D03"/>
    <w:rsid w:val="00C70305"/>
    <w:rsid w:val="00C722E8"/>
    <w:rsid w:val="00C75A48"/>
    <w:rsid w:val="00C76FDD"/>
    <w:rsid w:val="00C8297E"/>
    <w:rsid w:val="00C82EB1"/>
    <w:rsid w:val="00C846D0"/>
    <w:rsid w:val="00C85444"/>
    <w:rsid w:val="00C9283C"/>
    <w:rsid w:val="00C94636"/>
    <w:rsid w:val="00C962C4"/>
    <w:rsid w:val="00CA4AC2"/>
    <w:rsid w:val="00CA5934"/>
    <w:rsid w:val="00CB3E63"/>
    <w:rsid w:val="00CB7797"/>
    <w:rsid w:val="00CC1E9A"/>
    <w:rsid w:val="00CC5D50"/>
    <w:rsid w:val="00CC71FC"/>
    <w:rsid w:val="00CD0B4B"/>
    <w:rsid w:val="00CD142A"/>
    <w:rsid w:val="00CD3722"/>
    <w:rsid w:val="00CD652F"/>
    <w:rsid w:val="00CE154A"/>
    <w:rsid w:val="00CE7F37"/>
    <w:rsid w:val="00CF04C0"/>
    <w:rsid w:val="00CF1E56"/>
    <w:rsid w:val="00CF52E0"/>
    <w:rsid w:val="00CF70DB"/>
    <w:rsid w:val="00D035E4"/>
    <w:rsid w:val="00D07E4B"/>
    <w:rsid w:val="00D1128F"/>
    <w:rsid w:val="00D12520"/>
    <w:rsid w:val="00D12BF8"/>
    <w:rsid w:val="00D13CEA"/>
    <w:rsid w:val="00D22E5C"/>
    <w:rsid w:val="00D23CF1"/>
    <w:rsid w:val="00D245E2"/>
    <w:rsid w:val="00D250E8"/>
    <w:rsid w:val="00D279E5"/>
    <w:rsid w:val="00D33B89"/>
    <w:rsid w:val="00D33E72"/>
    <w:rsid w:val="00D4609D"/>
    <w:rsid w:val="00D4678E"/>
    <w:rsid w:val="00D47157"/>
    <w:rsid w:val="00D50EA3"/>
    <w:rsid w:val="00D5192C"/>
    <w:rsid w:val="00D52145"/>
    <w:rsid w:val="00D55602"/>
    <w:rsid w:val="00D55F17"/>
    <w:rsid w:val="00D605C7"/>
    <w:rsid w:val="00D61279"/>
    <w:rsid w:val="00D63554"/>
    <w:rsid w:val="00D63A0B"/>
    <w:rsid w:val="00D7529D"/>
    <w:rsid w:val="00D75C66"/>
    <w:rsid w:val="00D76949"/>
    <w:rsid w:val="00D76BF9"/>
    <w:rsid w:val="00D770AD"/>
    <w:rsid w:val="00D94EB3"/>
    <w:rsid w:val="00D95C30"/>
    <w:rsid w:val="00D9603D"/>
    <w:rsid w:val="00D96088"/>
    <w:rsid w:val="00DA4ABC"/>
    <w:rsid w:val="00DA5C56"/>
    <w:rsid w:val="00DA7C0B"/>
    <w:rsid w:val="00DB7085"/>
    <w:rsid w:val="00DC0341"/>
    <w:rsid w:val="00DC1BA7"/>
    <w:rsid w:val="00DC3BED"/>
    <w:rsid w:val="00DC4E2E"/>
    <w:rsid w:val="00DD5787"/>
    <w:rsid w:val="00DD58D2"/>
    <w:rsid w:val="00DD6E51"/>
    <w:rsid w:val="00DD6FED"/>
    <w:rsid w:val="00DD7CE9"/>
    <w:rsid w:val="00DF28DB"/>
    <w:rsid w:val="00DF3609"/>
    <w:rsid w:val="00DF3925"/>
    <w:rsid w:val="00DF53B5"/>
    <w:rsid w:val="00DF5B7D"/>
    <w:rsid w:val="00DF5B83"/>
    <w:rsid w:val="00E00B4E"/>
    <w:rsid w:val="00E15AB8"/>
    <w:rsid w:val="00E16DD7"/>
    <w:rsid w:val="00E21A07"/>
    <w:rsid w:val="00E2356B"/>
    <w:rsid w:val="00E258DE"/>
    <w:rsid w:val="00E26EF8"/>
    <w:rsid w:val="00E30003"/>
    <w:rsid w:val="00E309C3"/>
    <w:rsid w:val="00E342BB"/>
    <w:rsid w:val="00E41637"/>
    <w:rsid w:val="00E4231F"/>
    <w:rsid w:val="00E50B22"/>
    <w:rsid w:val="00E54744"/>
    <w:rsid w:val="00E548A9"/>
    <w:rsid w:val="00E548E3"/>
    <w:rsid w:val="00E55F45"/>
    <w:rsid w:val="00E56EAD"/>
    <w:rsid w:val="00E6100C"/>
    <w:rsid w:val="00E613C3"/>
    <w:rsid w:val="00E6157C"/>
    <w:rsid w:val="00E61B14"/>
    <w:rsid w:val="00E63FA0"/>
    <w:rsid w:val="00E66DBC"/>
    <w:rsid w:val="00E72B58"/>
    <w:rsid w:val="00E72C55"/>
    <w:rsid w:val="00E746B1"/>
    <w:rsid w:val="00E755BC"/>
    <w:rsid w:val="00E7678C"/>
    <w:rsid w:val="00E77E0A"/>
    <w:rsid w:val="00E83A18"/>
    <w:rsid w:val="00E83F78"/>
    <w:rsid w:val="00E8540F"/>
    <w:rsid w:val="00E8691E"/>
    <w:rsid w:val="00E92483"/>
    <w:rsid w:val="00E9348F"/>
    <w:rsid w:val="00EA1282"/>
    <w:rsid w:val="00EA4140"/>
    <w:rsid w:val="00EA5F59"/>
    <w:rsid w:val="00EA685F"/>
    <w:rsid w:val="00EB4FF1"/>
    <w:rsid w:val="00EB5838"/>
    <w:rsid w:val="00EB6821"/>
    <w:rsid w:val="00EC2E0B"/>
    <w:rsid w:val="00EC4EBA"/>
    <w:rsid w:val="00ED1EAF"/>
    <w:rsid w:val="00ED4266"/>
    <w:rsid w:val="00EE2438"/>
    <w:rsid w:val="00EE60BD"/>
    <w:rsid w:val="00EF3DF4"/>
    <w:rsid w:val="00EF4386"/>
    <w:rsid w:val="00EF463E"/>
    <w:rsid w:val="00EF5680"/>
    <w:rsid w:val="00F00EAC"/>
    <w:rsid w:val="00F0193C"/>
    <w:rsid w:val="00F1057B"/>
    <w:rsid w:val="00F10833"/>
    <w:rsid w:val="00F14804"/>
    <w:rsid w:val="00F17EEF"/>
    <w:rsid w:val="00F2341A"/>
    <w:rsid w:val="00F24234"/>
    <w:rsid w:val="00F2479E"/>
    <w:rsid w:val="00F27485"/>
    <w:rsid w:val="00F32D2D"/>
    <w:rsid w:val="00F32DCC"/>
    <w:rsid w:val="00F371E6"/>
    <w:rsid w:val="00F41074"/>
    <w:rsid w:val="00F4185F"/>
    <w:rsid w:val="00F455C3"/>
    <w:rsid w:val="00F45A2A"/>
    <w:rsid w:val="00F46A29"/>
    <w:rsid w:val="00F64BF6"/>
    <w:rsid w:val="00F64C65"/>
    <w:rsid w:val="00F71AEA"/>
    <w:rsid w:val="00F77185"/>
    <w:rsid w:val="00F80665"/>
    <w:rsid w:val="00F81B11"/>
    <w:rsid w:val="00F85AEE"/>
    <w:rsid w:val="00F914FF"/>
    <w:rsid w:val="00F93021"/>
    <w:rsid w:val="00F95852"/>
    <w:rsid w:val="00FA0768"/>
    <w:rsid w:val="00FA27A5"/>
    <w:rsid w:val="00FA460E"/>
    <w:rsid w:val="00FA5384"/>
    <w:rsid w:val="00FB14EE"/>
    <w:rsid w:val="00FB5864"/>
    <w:rsid w:val="00FC0A51"/>
    <w:rsid w:val="00FC164B"/>
    <w:rsid w:val="00FC1E02"/>
    <w:rsid w:val="00FC3344"/>
    <w:rsid w:val="00FC35FA"/>
    <w:rsid w:val="00FE101A"/>
    <w:rsid w:val="00FE4326"/>
    <w:rsid w:val="00FE6979"/>
    <w:rsid w:val="00FF3481"/>
    <w:rsid w:val="00FF5EBA"/>
    <w:rsid w:val="012B0DF9"/>
    <w:rsid w:val="016B1BE3"/>
    <w:rsid w:val="01746F47"/>
    <w:rsid w:val="021332F5"/>
    <w:rsid w:val="025C0F1D"/>
    <w:rsid w:val="025C1DB9"/>
    <w:rsid w:val="028039E0"/>
    <w:rsid w:val="031676A0"/>
    <w:rsid w:val="037C1C4A"/>
    <w:rsid w:val="040D546D"/>
    <w:rsid w:val="04337783"/>
    <w:rsid w:val="053507F2"/>
    <w:rsid w:val="056B42F1"/>
    <w:rsid w:val="06176642"/>
    <w:rsid w:val="06625179"/>
    <w:rsid w:val="06674566"/>
    <w:rsid w:val="068B4749"/>
    <w:rsid w:val="06970387"/>
    <w:rsid w:val="06CB077C"/>
    <w:rsid w:val="06DB3C0E"/>
    <w:rsid w:val="0711067D"/>
    <w:rsid w:val="072C4312"/>
    <w:rsid w:val="075E5DA6"/>
    <w:rsid w:val="07610F29"/>
    <w:rsid w:val="078636E7"/>
    <w:rsid w:val="07C147C6"/>
    <w:rsid w:val="07F01401"/>
    <w:rsid w:val="08A23EAA"/>
    <w:rsid w:val="08A404F8"/>
    <w:rsid w:val="08A460BD"/>
    <w:rsid w:val="08B872DC"/>
    <w:rsid w:val="08C452ED"/>
    <w:rsid w:val="08E63218"/>
    <w:rsid w:val="092F2A4F"/>
    <w:rsid w:val="09627775"/>
    <w:rsid w:val="096C0084"/>
    <w:rsid w:val="0A113C0D"/>
    <w:rsid w:val="0A243702"/>
    <w:rsid w:val="0A700617"/>
    <w:rsid w:val="0ABD0B83"/>
    <w:rsid w:val="0AC85185"/>
    <w:rsid w:val="0AEA526A"/>
    <w:rsid w:val="0B026AA2"/>
    <w:rsid w:val="0B12303C"/>
    <w:rsid w:val="0B583306"/>
    <w:rsid w:val="0B686C21"/>
    <w:rsid w:val="0BAA2164"/>
    <w:rsid w:val="0BF409A8"/>
    <w:rsid w:val="0C410AA7"/>
    <w:rsid w:val="0C43782D"/>
    <w:rsid w:val="0C836418"/>
    <w:rsid w:val="0CBF7CF5"/>
    <w:rsid w:val="0CDB7005"/>
    <w:rsid w:val="0D977996"/>
    <w:rsid w:val="0DCB4504"/>
    <w:rsid w:val="0E0B73DA"/>
    <w:rsid w:val="0E114E19"/>
    <w:rsid w:val="0E2C2D2C"/>
    <w:rsid w:val="0F4B55A7"/>
    <w:rsid w:val="0F7A22AF"/>
    <w:rsid w:val="0FAE73CB"/>
    <w:rsid w:val="0FC4342B"/>
    <w:rsid w:val="0FC740B9"/>
    <w:rsid w:val="106D3263"/>
    <w:rsid w:val="10AB63E4"/>
    <w:rsid w:val="10B81EFA"/>
    <w:rsid w:val="116A1D1E"/>
    <w:rsid w:val="11A13974"/>
    <w:rsid w:val="11BE1C24"/>
    <w:rsid w:val="11D007C9"/>
    <w:rsid w:val="11F41C69"/>
    <w:rsid w:val="11F41C82"/>
    <w:rsid w:val="120E046D"/>
    <w:rsid w:val="132135EE"/>
    <w:rsid w:val="14302A92"/>
    <w:rsid w:val="15176A25"/>
    <w:rsid w:val="15235822"/>
    <w:rsid w:val="15851B87"/>
    <w:rsid w:val="1635647F"/>
    <w:rsid w:val="16BA4542"/>
    <w:rsid w:val="16E34C43"/>
    <w:rsid w:val="173B6D26"/>
    <w:rsid w:val="175D4301"/>
    <w:rsid w:val="177A37BA"/>
    <w:rsid w:val="183E0A52"/>
    <w:rsid w:val="18403F55"/>
    <w:rsid w:val="184B5B6A"/>
    <w:rsid w:val="18687698"/>
    <w:rsid w:val="18865DB0"/>
    <w:rsid w:val="188F4E61"/>
    <w:rsid w:val="191861B7"/>
    <w:rsid w:val="194A7C8B"/>
    <w:rsid w:val="196F6974"/>
    <w:rsid w:val="19754F9C"/>
    <w:rsid w:val="197D395D"/>
    <w:rsid w:val="19EC5296"/>
    <w:rsid w:val="1A140C40"/>
    <w:rsid w:val="1A6E498E"/>
    <w:rsid w:val="1AEC0C65"/>
    <w:rsid w:val="1B852D79"/>
    <w:rsid w:val="1BD051C2"/>
    <w:rsid w:val="1BF91AF2"/>
    <w:rsid w:val="1C186B24"/>
    <w:rsid w:val="1C561E8C"/>
    <w:rsid w:val="1C5B3CE3"/>
    <w:rsid w:val="1C92426F"/>
    <w:rsid w:val="1CA44548"/>
    <w:rsid w:val="1D6B3F53"/>
    <w:rsid w:val="1D810209"/>
    <w:rsid w:val="1D8E6577"/>
    <w:rsid w:val="1DE83E25"/>
    <w:rsid w:val="1E3246CE"/>
    <w:rsid w:val="1F4A3163"/>
    <w:rsid w:val="1F6B7B2F"/>
    <w:rsid w:val="1FEC08C4"/>
    <w:rsid w:val="20AB78A8"/>
    <w:rsid w:val="20F65179"/>
    <w:rsid w:val="210B549B"/>
    <w:rsid w:val="21836286"/>
    <w:rsid w:val="21DD6B0F"/>
    <w:rsid w:val="22BF06CF"/>
    <w:rsid w:val="23A11F67"/>
    <w:rsid w:val="24311FE7"/>
    <w:rsid w:val="24502247"/>
    <w:rsid w:val="25B9457A"/>
    <w:rsid w:val="271839FA"/>
    <w:rsid w:val="27B1421B"/>
    <w:rsid w:val="27B2482C"/>
    <w:rsid w:val="280A5A9B"/>
    <w:rsid w:val="286F5EE4"/>
    <w:rsid w:val="28AB3371"/>
    <w:rsid w:val="28F07737"/>
    <w:rsid w:val="28F519C1"/>
    <w:rsid w:val="28F53904"/>
    <w:rsid w:val="29BB2C01"/>
    <w:rsid w:val="29D77FD4"/>
    <w:rsid w:val="2AA434C4"/>
    <w:rsid w:val="2AB76836"/>
    <w:rsid w:val="2AC955EA"/>
    <w:rsid w:val="2AE560BA"/>
    <w:rsid w:val="2B0E4D0A"/>
    <w:rsid w:val="2BA43011"/>
    <w:rsid w:val="2C005B57"/>
    <w:rsid w:val="2CFD526D"/>
    <w:rsid w:val="2D7A5647"/>
    <w:rsid w:val="2D7E65B1"/>
    <w:rsid w:val="2DAB7447"/>
    <w:rsid w:val="2DB46A8B"/>
    <w:rsid w:val="2DB85492"/>
    <w:rsid w:val="2E140BB1"/>
    <w:rsid w:val="2E8C684F"/>
    <w:rsid w:val="2F60058E"/>
    <w:rsid w:val="2F7047E3"/>
    <w:rsid w:val="2FAD0DC5"/>
    <w:rsid w:val="30357A24"/>
    <w:rsid w:val="305C56E5"/>
    <w:rsid w:val="30611B6D"/>
    <w:rsid w:val="30635070"/>
    <w:rsid w:val="30814620"/>
    <w:rsid w:val="30EA07CC"/>
    <w:rsid w:val="30ED27D2"/>
    <w:rsid w:val="31064879"/>
    <w:rsid w:val="31091081"/>
    <w:rsid w:val="31481E6B"/>
    <w:rsid w:val="31546BD6"/>
    <w:rsid w:val="318A1459"/>
    <w:rsid w:val="31C421C4"/>
    <w:rsid w:val="322936D7"/>
    <w:rsid w:val="323C48F6"/>
    <w:rsid w:val="34333106"/>
    <w:rsid w:val="3478243C"/>
    <w:rsid w:val="34860FB8"/>
    <w:rsid w:val="34D15BB4"/>
    <w:rsid w:val="350409D8"/>
    <w:rsid w:val="356928AF"/>
    <w:rsid w:val="36A6335F"/>
    <w:rsid w:val="370B41DA"/>
    <w:rsid w:val="375B525D"/>
    <w:rsid w:val="37BB129B"/>
    <w:rsid w:val="386C4CAE"/>
    <w:rsid w:val="387D663A"/>
    <w:rsid w:val="390053EE"/>
    <w:rsid w:val="39367872"/>
    <w:rsid w:val="395C6D54"/>
    <w:rsid w:val="39692DA8"/>
    <w:rsid w:val="399C49AC"/>
    <w:rsid w:val="3A3A1E13"/>
    <w:rsid w:val="3A6B5E65"/>
    <w:rsid w:val="3B9001C6"/>
    <w:rsid w:val="3BA0159A"/>
    <w:rsid w:val="3BCD002B"/>
    <w:rsid w:val="3BEF018D"/>
    <w:rsid w:val="3C0B70CA"/>
    <w:rsid w:val="3C3963CB"/>
    <w:rsid w:val="3C4B08F9"/>
    <w:rsid w:val="3C815550"/>
    <w:rsid w:val="3CC86FC9"/>
    <w:rsid w:val="3CD91462"/>
    <w:rsid w:val="3CF604FD"/>
    <w:rsid w:val="3D9B1520"/>
    <w:rsid w:val="3E183627"/>
    <w:rsid w:val="3E4A371B"/>
    <w:rsid w:val="3E9165B5"/>
    <w:rsid w:val="3EC04D98"/>
    <w:rsid w:val="3EE62C55"/>
    <w:rsid w:val="3EF16108"/>
    <w:rsid w:val="3F4E21EB"/>
    <w:rsid w:val="3F584CF9"/>
    <w:rsid w:val="3F5A25F7"/>
    <w:rsid w:val="3FBC6C6F"/>
    <w:rsid w:val="40094B1C"/>
    <w:rsid w:val="403A4622"/>
    <w:rsid w:val="406477B5"/>
    <w:rsid w:val="412D13FC"/>
    <w:rsid w:val="41435DED"/>
    <w:rsid w:val="41644E7E"/>
    <w:rsid w:val="41A20B18"/>
    <w:rsid w:val="41B75ADD"/>
    <w:rsid w:val="41F328E0"/>
    <w:rsid w:val="42022C9F"/>
    <w:rsid w:val="422832DD"/>
    <w:rsid w:val="422C131F"/>
    <w:rsid w:val="42931FC8"/>
    <w:rsid w:val="42E94F55"/>
    <w:rsid w:val="433A19C2"/>
    <w:rsid w:val="43B533A4"/>
    <w:rsid w:val="444B6C3A"/>
    <w:rsid w:val="44516698"/>
    <w:rsid w:val="447E524A"/>
    <w:rsid w:val="44934F90"/>
    <w:rsid w:val="44B239B2"/>
    <w:rsid w:val="44ED6924"/>
    <w:rsid w:val="456E0177"/>
    <w:rsid w:val="45E636A1"/>
    <w:rsid w:val="46064E72"/>
    <w:rsid w:val="469E62EA"/>
    <w:rsid w:val="46F66801"/>
    <w:rsid w:val="46F91E7C"/>
    <w:rsid w:val="46FD6304"/>
    <w:rsid w:val="473B24EB"/>
    <w:rsid w:val="477F780F"/>
    <w:rsid w:val="47C22BCA"/>
    <w:rsid w:val="48212BE3"/>
    <w:rsid w:val="484E4BB6"/>
    <w:rsid w:val="486231E9"/>
    <w:rsid w:val="48942F22"/>
    <w:rsid w:val="48970623"/>
    <w:rsid w:val="48C466A3"/>
    <w:rsid w:val="492B4F9E"/>
    <w:rsid w:val="49603E28"/>
    <w:rsid w:val="49611A00"/>
    <w:rsid w:val="498E40DB"/>
    <w:rsid w:val="49A11373"/>
    <w:rsid w:val="4A66380A"/>
    <w:rsid w:val="4A81724A"/>
    <w:rsid w:val="4B3F4D8E"/>
    <w:rsid w:val="4BFA0AB9"/>
    <w:rsid w:val="4C7D7F89"/>
    <w:rsid w:val="4C804791"/>
    <w:rsid w:val="4CC10640"/>
    <w:rsid w:val="4D327A4C"/>
    <w:rsid w:val="4DDA0159"/>
    <w:rsid w:val="4DE02AA8"/>
    <w:rsid w:val="4EBB1D96"/>
    <w:rsid w:val="4FC37C12"/>
    <w:rsid w:val="4FDB7ADA"/>
    <w:rsid w:val="4FE75DA8"/>
    <w:rsid w:val="50065D98"/>
    <w:rsid w:val="5060476D"/>
    <w:rsid w:val="5062141F"/>
    <w:rsid w:val="514075E4"/>
    <w:rsid w:val="51695A47"/>
    <w:rsid w:val="51FC7A11"/>
    <w:rsid w:val="528B26B8"/>
    <w:rsid w:val="52C53D44"/>
    <w:rsid w:val="530E7B8E"/>
    <w:rsid w:val="532219F2"/>
    <w:rsid w:val="539151F6"/>
    <w:rsid w:val="540013E0"/>
    <w:rsid w:val="54396FBB"/>
    <w:rsid w:val="54416334"/>
    <w:rsid w:val="54B6568B"/>
    <w:rsid w:val="568103DD"/>
    <w:rsid w:val="56B727A9"/>
    <w:rsid w:val="56F94297"/>
    <w:rsid w:val="57D26822"/>
    <w:rsid w:val="57E45843"/>
    <w:rsid w:val="581E561D"/>
    <w:rsid w:val="58436AD1"/>
    <w:rsid w:val="58482FFD"/>
    <w:rsid w:val="58D06745"/>
    <w:rsid w:val="58DD6578"/>
    <w:rsid w:val="58EC20FB"/>
    <w:rsid w:val="59BB5B9A"/>
    <w:rsid w:val="5A02233A"/>
    <w:rsid w:val="5A0D0D6E"/>
    <w:rsid w:val="5A623658"/>
    <w:rsid w:val="5A7A7057"/>
    <w:rsid w:val="5B2F7529"/>
    <w:rsid w:val="5B5C12F2"/>
    <w:rsid w:val="5BDB4F98"/>
    <w:rsid w:val="5CC87C71"/>
    <w:rsid w:val="5CD465DC"/>
    <w:rsid w:val="5D585252"/>
    <w:rsid w:val="5D866633"/>
    <w:rsid w:val="5DB512BF"/>
    <w:rsid w:val="5EF430D7"/>
    <w:rsid w:val="5F01496B"/>
    <w:rsid w:val="5F547063"/>
    <w:rsid w:val="5FB9411A"/>
    <w:rsid w:val="5FC22EFD"/>
    <w:rsid w:val="605373D3"/>
    <w:rsid w:val="60CC5F09"/>
    <w:rsid w:val="60E24E81"/>
    <w:rsid w:val="60FF7DD4"/>
    <w:rsid w:val="6138200C"/>
    <w:rsid w:val="6165287C"/>
    <w:rsid w:val="616E2C06"/>
    <w:rsid w:val="61FC61F7"/>
    <w:rsid w:val="624C1ED5"/>
    <w:rsid w:val="62C75F9B"/>
    <w:rsid w:val="63515EFF"/>
    <w:rsid w:val="63B32720"/>
    <w:rsid w:val="63CD32CA"/>
    <w:rsid w:val="63F2587D"/>
    <w:rsid w:val="645E4DB7"/>
    <w:rsid w:val="64F84F44"/>
    <w:rsid w:val="65472B37"/>
    <w:rsid w:val="65770848"/>
    <w:rsid w:val="666333C1"/>
    <w:rsid w:val="670A5C9B"/>
    <w:rsid w:val="676A74A6"/>
    <w:rsid w:val="67D5446A"/>
    <w:rsid w:val="686764FC"/>
    <w:rsid w:val="68B2742B"/>
    <w:rsid w:val="68E82AF9"/>
    <w:rsid w:val="69BA4BBB"/>
    <w:rsid w:val="6A3C1965"/>
    <w:rsid w:val="6AC5792A"/>
    <w:rsid w:val="6AD51E57"/>
    <w:rsid w:val="6B47278C"/>
    <w:rsid w:val="6B4C119F"/>
    <w:rsid w:val="6BF50CC9"/>
    <w:rsid w:val="6C9A73F0"/>
    <w:rsid w:val="6CE547B7"/>
    <w:rsid w:val="6D024358"/>
    <w:rsid w:val="6D222742"/>
    <w:rsid w:val="6D636001"/>
    <w:rsid w:val="6DB81A32"/>
    <w:rsid w:val="6E2241BE"/>
    <w:rsid w:val="6E2C59DA"/>
    <w:rsid w:val="6E564E7B"/>
    <w:rsid w:val="6EFD73A5"/>
    <w:rsid w:val="6FF675BD"/>
    <w:rsid w:val="70901DCC"/>
    <w:rsid w:val="710043C7"/>
    <w:rsid w:val="710429A0"/>
    <w:rsid w:val="71205DA5"/>
    <w:rsid w:val="713D3157"/>
    <w:rsid w:val="717D50CE"/>
    <w:rsid w:val="71B11EC6"/>
    <w:rsid w:val="71B5409B"/>
    <w:rsid w:val="72610BC3"/>
    <w:rsid w:val="7277735C"/>
    <w:rsid w:val="735018BD"/>
    <w:rsid w:val="73807861"/>
    <w:rsid w:val="74052F56"/>
    <w:rsid w:val="740D0027"/>
    <w:rsid w:val="747258BD"/>
    <w:rsid w:val="747F4515"/>
    <w:rsid w:val="74D838E7"/>
    <w:rsid w:val="74DD3134"/>
    <w:rsid w:val="75076A10"/>
    <w:rsid w:val="753E5865"/>
    <w:rsid w:val="75442FF2"/>
    <w:rsid w:val="75772547"/>
    <w:rsid w:val="762A7958"/>
    <w:rsid w:val="767943B3"/>
    <w:rsid w:val="76E33419"/>
    <w:rsid w:val="76EE51D9"/>
    <w:rsid w:val="77246B3A"/>
    <w:rsid w:val="77F65DDE"/>
    <w:rsid w:val="78152E10"/>
    <w:rsid w:val="783A3050"/>
    <w:rsid w:val="78B46EAD"/>
    <w:rsid w:val="78C52576"/>
    <w:rsid w:val="78DB063D"/>
    <w:rsid w:val="7905019A"/>
    <w:rsid w:val="797E1022"/>
    <w:rsid w:val="7B3A48B6"/>
    <w:rsid w:val="7B5C778C"/>
    <w:rsid w:val="7B5D5614"/>
    <w:rsid w:val="7B67607F"/>
    <w:rsid w:val="7B704189"/>
    <w:rsid w:val="7B9E6F01"/>
    <w:rsid w:val="7BD0619D"/>
    <w:rsid w:val="7BDB2C70"/>
    <w:rsid w:val="7C11083E"/>
    <w:rsid w:val="7C3C31DF"/>
    <w:rsid w:val="7C5641F2"/>
    <w:rsid w:val="7DE558E9"/>
    <w:rsid w:val="7E3952E8"/>
    <w:rsid w:val="7F691199"/>
    <w:rsid w:val="7F7E6598"/>
    <w:rsid w:val="7FB84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21"/>
      <w:szCs w:val="24"/>
      <w:lang w:val="en-US" w:eastAsia="zh-CN" w:bidi="ar-SA"/>
    </w:rPr>
  </w:style>
  <w:style w:type="paragraph" w:styleId="2">
    <w:name w:val="heading 2"/>
    <w:basedOn w:val="1"/>
    <w:next w:val="1"/>
    <w:qFormat/>
    <w:uiPriority w:val="9"/>
    <w:pPr>
      <w:keepNext/>
      <w:keepLines/>
      <w:spacing w:before="260" w:after="260" w:line="413" w:lineRule="auto"/>
      <w:outlineLvl w:val="1"/>
    </w:pPr>
    <w:rPr>
      <w:b/>
      <w:sz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ody Text 3"/>
    <w:basedOn w:val="1"/>
    <w:qFormat/>
    <w:uiPriority w:val="0"/>
    <w:pPr>
      <w:spacing w:after="120"/>
    </w:pPr>
    <w:rPr>
      <w:sz w:val="16"/>
      <w:szCs w:val="16"/>
    </w:rPr>
  </w:style>
  <w:style w:type="paragraph" w:styleId="5">
    <w:name w:val="Body Text Indent"/>
    <w:basedOn w:val="1"/>
    <w:link w:val="22"/>
    <w:qFormat/>
    <w:uiPriority w:val="0"/>
    <w:pPr>
      <w:tabs>
        <w:tab w:val="left" w:pos="525"/>
      </w:tabs>
      <w:spacing w:line="320" w:lineRule="exact"/>
      <w:ind w:firstLine="480" w:firstLineChars="200"/>
    </w:pPr>
    <w:rPr>
      <w:sz w:val="24"/>
    </w:rPr>
  </w:style>
  <w:style w:type="paragraph" w:styleId="6">
    <w:name w:val="Plain Text"/>
    <w:basedOn w:val="1"/>
    <w:qFormat/>
    <w:uiPriority w:val="0"/>
    <w:rPr>
      <w:rFonts w:hint="eastAsia"/>
      <w:szCs w:val="20"/>
    </w:rPr>
  </w:style>
  <w:style w:type="paragraph" w:styleId="7">
    <w:name w:val="Body Text Indent 2"/>
    <w:basedOn w:val="1"/>
    <w:link w:val="18"/>
    <w:qFormat/>
    <w:uiPriority w:val="0"/>
    <w:pPr>
      <w:tabs>
        <w:tab w:val="left" w:pos="945"/>
      </w:tabs>
      <w:spacing w:line="360" w:lineRule="exact"/>
      <w:ind w:firstLine="538" w:firstLineChars="224"/>
    </w:pPr>
    <w:rPr>
      <w:sz w:val="24"/>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kern w:val="0"/>
      <w:sz w:val="24"/>
    </w:rPr>
  </w:style>
  <w:style w:type="paragraph" w:styleId="12">
    <w:name w:val="annotation subject"/>
    <w:basedOn w:val="3"/>
    <w:next w:val="3"/>
    <w:link w:val="21"/>
    <w:unhideWhenUsed/>
    <w:qFormat/>
    <w:uiPriority w:val="99"/>
    <w:rPr>
      <w:b/>
      <w:bCs/>
    </w:rPr>
  </w:style>
  <w:style w:type="table" w:styleId="14">
    <w:name w:val="Table Grid"/>
    <w:basedOn w:val="1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annotation reference"/>
    <w:unhideWhenUsed/>
    <w:qFormat/>
    <w:uiPriority w:val="99"/>
    <w:rPr>
      <w:sz w:val="21"/>
      <w:szCs w:val="21"/>
    </w:rPr>
  </w:style>
  <w:style w:type="character" w:customStyle="1" w:styleId="18">
    <w:name w:val="正文文本缩进 2 字符"/>
    <w:link w:val="7"/>
    <w:qFormat/>
    <w:uiPriority w:val="0"/>
    <w:rPr>
      <w:rFonts w:ascii="@仿宋_GB2312" w:eastAsia="@仿宋_GB2312"/>
      <w:kern w:val="2"/>
      <w:sz w:val="24"/>
      <w:szCs w:val="24"/>
      <w:lang w:val="en-US" w:eastAsia="zh-CN" w:bidi="ar-SA"/>
    </w:rPr>
  </w:style>
  <w:style w:type="character" w:customStyle="1" w:styleId="19">
    <w:name w:val="页眉 字符"/>
    <w:link w:val="10"/>
    <w:qFormat/>
    <w:uiPriority w:val="0"/>
    <w:rPr>
      <w:rFonts w:eastAsia="@仿宋_GB2312"/>
      <w:kern w:val="2"/>
      <w:sz w:val="18"/>
      <w:szCs w:val="18"/>
      <w:lang w:val="en-US" w:eastAsia="zh-CN" w:bidi="ar-SA"/>
    </w:rPr>
  </w:style>
  <w:style w:type="character" w:customStyle="1" w:styleId="20">
    <w:name w:val="批注文字 字符"/>
    <w:link w:val="3"/>
    <w:semiHidden/>
    <w:qFormat/>
    <w:uiPriority w:val="99"/>
    <w:rPr>
      <w:kern w:val="2"/>
      <w:sz w:val="21"/>
      <w:szCs w:val="24"/>
    </w:rPr>
  </w:style>
  <w:style w:type="character" w:customStyle="1" w:styleId="21">
    <w:name w:val="批注主题 字符"/>
    <w:link w:val="12"/>
    <w:semiHidden/>
    <w:qFormat/>
    <w:uiPriority w:val="99"/>
    <w:rPr>
      <w:b/>
      <w:bCs/>
      <w:kern w:val="2"/>
      <w:sz w:val="21"/>
      <w:szCs w:val="24"/>
    </w:rPr>
  </w:style>
  <w:style w:type="character" w:customStyle="1" w:styleId="22">
    <w:name w:val="正文文本缩进 字符"/>
    <w:link w:val="5"/>
    <w:qFormat/>
    <w:uiPriority w:val="0"/>
    <w:rPr>
      <w:rFonts w:ascii="@仿宋_GB2312" w:eastAsia="@仿宋_GB2312"/>
      <w:kern w:val="2"/>
      <w:sz w:val="24"/>
      <w:szCs w:val="24"/>
      <w:lang w:val="en-US" w:eastAsia="zh-CN" w:bidi="ar-SA"/>
    </w:rPr>
  </w:style>
  <w:style w:type="paragraph" w:customStyle="1" w:styleId="23">
    <w:name w:val="100"/>
    <w:basedOn w:val="1"/>
    <w:qFormat/>
    <w:uiPriority w:val="0"/>
    <w:pPr>
      <w:ind w:left="312" w:firstLine="200" w:firstLineChars="200"/>
      <w:outlineLvl w:val="0"/>
    </w:pPr>
    <w:rPr>
      <w:sz w:val="28"/>
    </w:rPr>
  </w:style>
  <w:style w:type="paragraph" w:customStyle="1" w:styleId="24">
    <w:name w:val="列出段落1"/>
    <w:basedOn w:val="1"/>
    <w:qFormat/>
    <w:uiPriority w:val="34"/>
    <w:pPr>
      <w:ind w:firstLine="420" w:firstLineChars="200"/>
    </w:pPr>
  </w:style>
  <w:style w:type="paragraph" w:customStyle="1" w:styleId="25">
    <w:name w:val="xl51"/>
    <w:basedOn w:val="1"/>
    <w:qFormat/>
    <w:uiPriority w:val="0"/>
    <w:pPr>
      <w:widowControl/>
      <w:pBdr>
        <w:left w:val="single" w:color="auto" w:sz="4" w:space="0"/>
        <w:right w:val="single" w:color="auto" w:sz="4" w:space="0"/>
      </w:pBdr>
      <w:spacing w:before="100" w:beforeAutospacing="1" w:after="100" w:afterAutospacing="1"/>
      <w:jc w:val="center"/>
      <w:textAlignment w:val="top"/>
    </w:pPr>
    <w:rPr>
      <w:kern w:val="0"/>
      <w:szCs w:val="21"/>
    </w:rPr>
  </w:style>
  <w:style w:type="paragraph" w:styleId="2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4230</Words>
  <Characters>24112</Characters>
  <Lines>200</Lines>
  <Paragraphs>56</Paragraphs>
  <TotalTime>12</TotalTime>
  <ScaleCrop>false</ScaleCrop>
  <LinksUpToDate>false</LinksUpToDate>
  <CharactersWithSpaces>28286</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2021-06-29T14:28:00Z</dcterms:created>
  <dc:creator>微软用户</dc:creator>
  <cp:lastModifiedBy>许老</cp:lastModifiedBy>
  <cp:lastPrinted>2021-06-21T02:30:00Z</cp:lastPrinted>
  <dcterms:modified xsi:type="dcterms:W3CDTF">2021-08-20T01:29:17Z</dcterms:modified>
  <dc:title>江西工业贸易职业技术学院2011级</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B7CFBAB5FEE149C78D30B7EED39D2C6E</vt:lpwstr>
  </property>
</Properties>
</file>