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kern w:val="0"/>
          <w:sz w:val="36"/>
          <w:szCs w:val="36"/>
        </w:rPr>
        <w:t>食品检验检测技术</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outlineLvl w:val="1"/>
        <w:rPr>
          <w:rFonts w:ascii="宋体" w:hAnsi="宋体" w:eastAsia="宋体" w:cs="Times New Roman"/>
          <w:szCs w:val="21"/>
        </w:rPr>
      </w:pPr>
      <w:bookmarkStart w:id="1" w:name="_Toc327706726"/>
      <w:bookmarkStart w:id="2" w:name="_Toc327706727"/>
      <w:r>
        <w:rPr>
          <w:rFonts w:hint="eastAsia" w:ascii="宋体" w:hAnsi="宋体" w:eastAsia="宋体" w:cs="Times New Roman"/>
          <w:szCs w:val="21"/>
        </w:rPr>
        <w:t>（一）招生对象</w:t>
      </w:r>
      <w:bookmarkEnd w:id="1"/>
    </w:p>
    <w:p>
      <w:pPr>
        <w:snapToGrid w:val="0"/>
        <w:spacing w:line="380" w:lineRule="exact"/>
        <w:ind w:firstLine="420"/>
        <w:outlineLvl w:val="1"/>
        <w:rPr>
          <w:rFonts w:ascii="宋体" w:hAnsi="宋体" w:eastAsia="宋体" w:cs="Times New Roman"/>
          <w:szCs w:val="21"/>
        </w:rPr>
      </w:pPr>
      <w:r>
        <w:rPr>
          <w:rFonts w:hint="eastAsia" w:ascii="宋体" w:hAnsi="宋体" w:eastAsia="宋体" w:cs="Times New Roman"/>
          <w:szCs w:val="21"/>
        </w:rPr>
        <w:t>普通高中毕业生及同等学历者。</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（二）学制</w:t>
      </w:r>
      <w:bookmarkEnd w:id="2"/>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全日制三年。</w:t>
      </w:r>
    </w:p>
    <w:p>
      <w:pPr>
        <w:snapToGrid w:val="0"/>
        <w:spacing w:line="380" w:lineRule="exact"/>
        <w:ind w:firstLine="482" w:firstLineChars="200"/>
        <w:outlineLvl w:val="0"/>
        <w:rPr>
          <w:rFonts w:ascii="宋体" w:hAnsi="宋体" w:eastAsia="宋体"/>
          <w:b/>
          <w:sz w:val="24"/>
        </w:rPr>
      </w:pPr>
      <w:bookmarkStart w:id="3" w:name="_Toc327706728"/>
      <w:r>
        <w:rPr>
          <w:rFonts w:hint="eastAsia" w:ascii="宋体" w:hAnsi="宋体" w:eastAsia="宋体"/>
          <w:b/>
          <w:sz w:val="24"/>
        </w:rPr>
        <w:t>二、专业人才培养目标</w:t>
      </w:r>
      <w:bookmarkEnd w:id="3"/>
    </w:p>
    <w:p>
      <w:pPr>
        <w:snapToGrid w:val="0"/>
        <w:spacing w:line="380" w:lineRule="exact"/>
        <w:ind w:firstLine="420" w:firstLineChars="200"/>
        <w:outlineLvl w:val="0"/>
        <w:rPr>
          <w:rFonts w:ascii="宋体" w:hAnsi="宋体" w:eastAsia="宋体"/>
          <w:b/>
          <w:sz w:val="24"/>
        </w:rPr>
      </w:pPr>
      <w:bookmarkStart w:id="4" w:name="_Toc327706729"/>
      <w:r>
        <w:rPr>
          <w:rFonts w:hint="eastAsia" w:ascii="宋体" w:hAnsi="宋体" w:eastAsia="宋体"/>
          <w:szCs w:val="21"/>
        </w:rPr>
        <w:t>本专业为粮食工程技术专业群的群内专业，结合专业群服务江西经济社会发展对人才的需求，依托专业群服务的食品行业，与粮食食品类企业合作，培养食品高端检验、食品烘焙及销售领域从事技术与管理类工作，</w:t>
      </w:r>
      <w:bookmarkStart w:id="10" w:name="_GoBack"/>
      <w:bookmarkEnd w:id="10"/>
      <w:r>
        <w:rPr>
          <w:rFonts w:hint="eastAsia" w:ascii="宋体" w:hAnsi="宋体" w:eastAsia="宋体"/>
          <w:szCs w:val="21"/>
        </w:rPr>
        <w:t>德智体美劳全面发展，践行社会主义核心价值观，具有一定的文化水平、良好的职业道德和人文素养，具备工匠精神，具有创新思维、创新精神、创新创业意识和创新创业能力的高素质技术技能型人才。</w:t>
      </w:r>
      <w:r>
        <w:rPr>
          <w:rFonts w:ascii="宋体" w:hAnsi="宋体" w:eastAsia="宋体"/>
          <w:szCs w:val="21"/>
        </w:rPr>
        <w:t xml:space="preserve"> </w:t>
      </w:r>
      <w:r>
        <w:rPr>
          <w:rFonts w:ascii="宋体" w:hAnsi="宋体" w:eastAsia="宋体"/>
          <w:kern w:val="0"/>
          <w:sz w:val="24"/>
        </w:rPr>
        <w:br w:type="textWrapping"/>
      </w:r>
      <w:r>
        <w:rPr>
          <w:rFonts w:hint="eastAsia" w:ascii="宋体" w:hAnsi="宋体" w:eastAsia="宋体"/>
          <w:b/>
          <w:sz w:val="24"/>
        </w:rPr>
        <w:t xml:space="preserve">    三、职业面向</w:t>
      </w:r>
      <w:bookmarkEnd w:id="4"/>
    </w:p>
    <w:p>
      <w:pPr>
        <w:snapToGrid w:val="0"/>
        <w:spacing w:line="380" w:lineRule="exact"/>
        <w:outlineLvl w:val="0"/>
        <w:rPr>
          <w:rFonts w:ascii="Times New Roman" w:hAnsi="Times New Roman" w:eastAsia="宋体" w:cs="Times New Roman"/>
          <w:szCs w:val="21"/>
        </w:rPr>
      </w:pPr>
      <w:r>
        <w:rPr>
          <w:rFonts w:hint="eastAsia" w:ascii="宋体" w:hAnsi="宋体" w:eastAsia="宋体"/>
          <w:szCs w:val="21"/>
        </w:rPr>
        <w:t xml:space="preserve">    </w:t>
      </w:r>
      <w:r>
        <w:rPr>
          <w:rFonts w:ascii="Times New Roman" w:hAnsi="Times New Roman" w:eastAsia="宋体" w:cs="Times New Roman"/>
          <w:szCs w:val="21"/>
        </w:rPr>
        <w:t>（一）首次就业岗位及主要工作项目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首次就业岗位</w:t>
            </w:r>
          </w:p>
        </w:tc>
        <w:tc>
          <w:tcPr>
            <w:tcW w:w="6926" w:type="dxa"/>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908" w:type="dxa"/>
            <w:vAlign w:val="center"/>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检化验员</w:t>
            </w:r>
          </w:p>
        </w:tc>
        <w:tc>
          <w:tcPr>
            <w:tcW w:w="6926" w:type="dxa"/>
          </w:tcPr>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在食品企业、粮食饲料企业、质检机构或第三方检验机构的检化验员岗位，按照管理要求和相关制度，能完成以下工作：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1.根据质量管理制度接收待检样品；</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2.按照检验项目要求进行样品前处理及试验准备工作；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3.完成原辅料入厂检验/中间产品检验/成品出厂检验指标的检验工作；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4.记录原始数据，编制检验报告单并送审；</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5.检查、维护仪器设备；</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6.负责检化验室卫生、安全工作。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908" w:type="dxa"/>
            <w:vAlign w:val="center"/>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品控员</w:t>
            </w:r>
          </w:p>
        </w:tc>
        <w:tc>
          <w:tcPr>
            <w:tcW w:w="6926" w:type="dxa"/>
          </w:tcPr>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在食品企业、粮食饲料企业的品控员岗位，按照管理要求和相关制度，能完成以下工作：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1.负责对原辅料的质量管理工作，按规定抽样并送检验室检验；</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2.监督各工序严格按生产工艺及标准进行生产；</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3.检查并保障生产设备和车间环境卫生；</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4.重点监管关键控制点，按规定抽样并送检验室检验；</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5.对不合格品监督处理；</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6.报表、记录的档案管理工作。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908" w:type="dxa"/>
            <w:vAlign w:val="center"/>
          </w:tcPr>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加工技术员</w:t>
            </w:r>
          </w:p>
          <w:p>
            <w:pPr>
              <w:snapToGrid w:val="0"/>
              <w:spacing w:line="380" w:lineRule="exact"/>
              <w:jc w:val="center"/>
              <w:outlineLvl w:val="0"/>
              <w:rPr>
                <w:rFonts w:ascii="Times New Roman" w:hAnsi="Times New Roman" w:eastAsia="宋体" w:cs="Times New Roman"/>
                <w:sz w:val="18"/>
                <w:szCs w:val="18"/>
              </w:rPr>
            </w:pPr>
          </w:p>
        </w:tc>
        <w:tc>
          <w:tcPr>
            <w:tcW w:w="6926" w:type="dxa"/>
          </w:tcPr>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在食品企业、粮食饲料企业的加工技术员岗位，按照管理要求和相关制度，能完成以下工作：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1.根据班前会，接收生产任务，做好生产准备工作；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2.根据产品的生产工艺流程进行生产；</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3.根据产品性状、质构调整工艺控制点参数；</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4.维护设备和工作环境卫生。</w:t>
            </w:r>
          </w:p>
        </w:tc>
      </w:tr>
    </w:tbl>
    <w:p>
      <w:pPr>
        <w:snapToGrid w:val="0"/>
        <w:spacing w:line="380" w:lineRule="exact"/>
        <w:outlineLvl w:val="0"/>
        <w:rPr>
          <w:rFonts w:ascii="Times New Roman" w:hAnsi="Times New Roman" w:eastAsia="宋体" w:cs="Times New Roman"/>
          <w:szCs w:val="21"/>
        </w:rPr>
      </w:pPr>
    </w:p>
    <w:p>
      <w:pPr>
        <w:snapToGrid w:val="0"/>
        <w:spacing w:line="380" w:lineRule="exact"/>
        <w:outlineLvl w:val="0"/>
        <w:rPr>
          <w:rFonts w:ascii="Times New Roman" w:hAnsi="Times New Roman" w:eastAsia="宋体" w:cs="Times New Roman"/>
          <w:szCs w:val="21"/>
        </w:rPr>
      </w:pPr>
      <w:r>
        <w:rPr>
          <w:rFonts w:ascii="Times New Roman" w:hAnsi="Times New Roman" w:eastAsia="宋体" w:cs="Times New Roman"/>
          <w:szCs w:val="21"/>
        </w:rPr>
        <w:t xml:space="preserve">    （二）目标岗位及主要工作项目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目标就业岗位</w:t>
            </w:r>
          </w:p>
        </w:tc>
        <w:tc>
          <w:tcPr>
            <w:tcW w:w="6926" w:type="dxa"/>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品控主管</w:t>
            </w:r>
          </w:p>
        </w:tc>
        <w:tc>
          <w:tcPr>
            <w:tcW w:w="6926" w:type="dxa"/>
          </w:tcPr>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在食品企业、粮食饲料企业的品控主管岗位，按照管理要求和相关制度，能完成以下工作：</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1.监督指导检化验员、品控员、质量管理员的工作；</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2.完成检验报告的审批；</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3.监督检查质量管理体系的运行；</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4.品质异常情况时，与企业采购部、生产部等其他部门沟通协调；</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5.总结分析质量问题，改进完善质量管理体系；</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6.处理质量方面的客户投诉，与质检机构/第三方检验机构沟通协调；</w:t>
            </w:r>
          </w:p>
          <w:p>
            <w:pPr>
              <w:tabs>
                <w:tab w:val="left" w:pos="525"/>
              </w:tabs>
              <w:spacing w:line="3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7.负责部门管理制度的的修订和审核。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车间主任</w:t>
            </w:r>
          </w:p>
        </w:tc>
        <w:tc>
          <w:tcPr>
            <w:tcW w:w="6926" w:type="dxa"/>
          </w:tcPr>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在食品企业、粮食饲料企业的车间主任岗位，按照管理要求和相关制度，能完成以下工作：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1.制定车间的生产计划；</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2.监督、检查车间的生产运行、环境卫生等情况；</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3.对车间的生产情况进行分析与总结；</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4.组织开展生产线、设备的维修保养工作；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5.组织开展车间人员的技能培训工作；</w:t>
            </w:r>
          </w:p>
          <w:p>
            <w:pPr>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6.组织开展车间人员的考勤、排班等日常管理工作。</w:t>
            </w:r>
          </w:p>
        </w:tc>
      </w:tr>
    </w:tbl>
    <w:p>
      <w:pPr>
        <w:snapToGrid w:val="0"/>
        <w:spacing w:line="380" w:lineRule="exact"/>
        <w:ind w:firstLine="420" w:firstLineChars="200"/>
        <w:outlineLvl w:val="0"/>
        <w:rPr>
          <w:rFonts w:ascii="Times New Roman" w:hAnsi="Times New Roman" w:eastAsia="宋体" w:cs="Times New Roman"/>
          <w:szCs w:val="21"/>
        </w:rPr>
      </w:pPr>
    </w:p>
    <w:p>
      <w:pPr>
        <w:numPr>
          <w:ilvl w:val="0"/>
          <w:numId w:val="1"/>
        </w:numPr>
        <w:snapToGrid w:val="0"/>
        <w:spacing w:line="380" w:lineRule="exact"/>
        <w:outlineLvl w:val="0"/>
        <w:rPr>
          <w:rFonts w:ascii="Times New Roman" w:hAnsi="Times New Roman" w:eastAsia="宋体" w:cs="Times New Roman"/>
          <w:szCs w:val="21"/>
        </w:rPr>
      </w:pPr>
      <w:r>
        <w:rPr>
          <w:rFonts w:ascii="Times New Roman" w:hAnsi="Times New Roman" w:eastAsia="宋体" w:cs="Times New Roman"/>
          <w:szCs w:val="21"/>
        </w:rPr>
        <w:t>其他岗位及主要工作项目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napToGrid w:val="0"/>
              <w:spacing w:line="3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其它岗位</w:t>
            </w:r>
          </w:p>
        </w:tc>
        <w:tc>
          <w:tcPr>
            <w:tcW w:w="6926" w:type="dxa"/>
          </w:tcPr>
          <w:p>
            <w:pPr>
              <w:snapToGrid w:val="0"/>
              <w:spacing w:line="3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napToGrid w:val="0"/>
              <w:spacing w:line="380" w:lineRule="exact"/>
              <w:jc w:val="center"/>
              <w:outlineLvl w:val="0"/>
              <w:rPr>
                <w:rFonts w:ascii="Times New Roman" w:hAnsi="Times New Roman" w:eastAsia="宋体" w:cs="Times New Roman"/>
                <w:sz w:val="18"/>
                <w:szCs w:val="18"/>
              </w:rPr>
            </w:pPr>
            <w:r>
              <w:rPr>
                <w:rFonts w:ascii="Times New Roman" w:hAnsi="Times New Roman" w:eastAsia="宋体" w:cs="Times New Roman"/>
                <w:sz w:val="18"/>
                <w:szCs w:val="18"/>
              </w:rPr>
              <w:t>销售业务员</w:t>
            </w:r>
          </w:p>
        </w:tc>
        <w:tc>
          <w:tcPr>
            <w:tcW w:w="6926" w:type="dxa"/>
          </w:tcPr>
          <w:p>
            <w:pPr>
              <w:rPr>
                <w:rFonts w:ascii="Times New Roman" w:hAnsi="Times New Roman" w:eastAsia="宋体" w:cs="Times New Roman"/>
                <w:sz w:val="18"/>
                <w:szCs w:val="18"/>
              </w:rPr>
            </w:pPr>
            <w:r>
              <w:rPr>
                <w:rFonts w:ascii="Times New Roman" w:hAnsi="Times New Roman" w:eastAsia="宋体" w:cs="Times New Roman"/>
                <w:sz w:val="18"/>
                <w:szCs w:val="18"/>
              </w:rPr>
              <w:t xml:space="preserve">    在粮食食品企业的销售业务员岗位，按照管理要求和相关制度，能完成以下工作：</w:t>
            </w:r>
          </w:p>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1.给客户提供企业产品销售咨询等服务；</w:t>
            </w:r>
          </w:p>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2.负责企业产品的市场渠道开拓；</w:t>
            </w:r>
          </w:p>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3.积极完成企业产品在所负责区域的销售指标；</w:t>
            </w:r>
          </w:p>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4.维护和开拓新的销售渠道和新客户；</w:t>
            </w:r>
          </w:p>
          <w:p>
            <w:pPr>
              <w:snapToGrid w:val="0"/>
              <w:spacing w:line="380" w:lineRule="exact"/>
              <w:ind w:firstLine="360" w:firstLineChars="200"/>
              <w:outlineLvl w:val="0"/>
              <w:rPr>
                <w:rFonts w:ascii="Times New Roman" w:hAnsi="Times New Roman" w:eastAsia="宋体" w:cs="Times New Roman"/>
                <w:sz w:val="18"/>
                <w:szCs w:val="18"/>
              </w:rPr>
            </w:pPr>
            <w:r>
              <w:rPr>
                <w:rFonts w:ascii="Times New Roman" w:hAnsi="Times New Roman" w:eastAsia="宋体" w:cs="Times New Roman"/>
                <w:sz w:val="18"/>
                <w:szCs w:val="18"/>
              </w:rPr>
              <w:t>5.收集营销信息和用户意见，对公司营销策略、售后服务等提出参考意见。</w:t>
            </w:r>
          </w:p>
        </w:tc>
      </w:tr>
    </w:tbl>
    <w:p>
      <w:pPr>
        <w:snapToGrid w:val="0"/>
        <w:spacing w:line="380" w:lineRule="exact"/>
        <w:ind w:firstLine="472" w:firstLineChars="196"/>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ind w:firstLine="420" w:firstLineChars="200"/>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1.基本检验操作和仪器使用能力：在检化验室跟随师傅利用常用的检验仪器和试剂完成有指导下的基本检验操作和仪器使用能力。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2.营养与卫生指标检验能力：在检化验室利用常规理化检验仪器及精密仪器完成营养与卫生指标检验独立操作的能力。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3.微生物指标检验能力：在微生物实验室利用微生物检验仪器完成微生物指标分析检验独立操作的能力。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4.综合检测能力：以真实的粮食/饲料/食品质量检验任务和国家标准规定的方法对某一具体产品指标进行独立分析检测的能力。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5.生产管理及品质控制能力：在生产车间利用电脑、工艺标准、质量管理体系等完成食品生产技术管理及品质控制的能力。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6.营养推广和配餐能力：在营养健康管理类企业利用膳食营养调查、人体体格测量、营养水平的检验等完成膳食营养推广和人体营养状况测定的能力。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7.烘焙食品加工能力：在烘焙食品加工车间，利用各种生产设备，完成烘焙食品加工能力。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8.粮食食品营销能力：基于粮食食品销售的工作场所和环境，完成粮食食品营销能力。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9.创新能力：在校学习过程中利用创新创业课程完成创新意识和创新创业的能力。</w:t>
      </w:r>
    </w:p>
    <w:p>
      <w:pPr>
        <w:snapToGrid w:val="0"/>
        <w:spacing w:line="380" w:lineRule="exact"/>
        <w:ind w:firstLine="424" w:firstLineChars="202"/>
        <w:outlineLvl w:val="0"/>
        <w:rPr>
          <w:rFonts w:ascii="宋体" w:hAnsi="宋体" w:eastAsia="宋体"/>
          <w:szCs w:val="21"/>
        </w:rPr>
      </w:pPr>
      <w:r>
        <w:rPr>
          <w:rFonts w:ascii="宋体" w:hAnsi="宋体" w:eastAsia="宋体"/>
          <w:szCs w:val="21"/>
        </w:rPr>
        <w:t xml:space="preserve">10.综合职业能力：在食品、粮油饲料、营养健康管理类企业各岗位培养优良的职业素养和较高的综合职业能力。    </w:t>
      </w:r>
    </w:p>
    <w:p>
      <w:pPr>
        <w:snapToGrid w:val="0"/>
        <w:spacing w:line="380" w:lineRule="exact"/>
        <w:ind w:firstLine="567" w:firstLineChars="270"/>
        <w:outlineLvl w:val="0"/>
        <w:rPr>
          <w:rFonts w:ascii="宋体" w:hAnsi="宋体" w:eastAsia="宋体"/>
        </w:rPr>
      </w:pPr>
      <w:r>
        <w:rPr>
          <w:rFonts w:hint="eastAsia" w:ascii="宋体" w:hAnsi="宋体" w:eastAsia="宋体"/>
        </w:rPr>
        <w:t>（三）职业资格证书要求</w:t>
      </w:r>
    </w:p>
    <w:p>
      <w:pPr>
        <w:snapToGrid w:val="0"/>
        <w:spacing w:line="380" w:lineRule="exact"/>
        <w:ind w:firstLine="567" w:firstLineChars="270"/>
        <w:outlineLvl w:val="0"/>
        <w:rPr>
          <w:rFonts w:ascii="宋体" w:hAnsi="宋体" w:eastAsia="宋体"/>
          <w:szCs w:val="21"/>
        </w:rPr>
      </w:pPr>
      <w:r>
        <w:rPr>
          <w:rFonts w:hint="eastAsia" w:ascii="宋体" w:hAnsi="宋体" w:eastAsia="宋体"/>
          <w:szCs w:val="21"/>
        </w:rPr>
        <w:t>组织学生在第四</w:t>
      </w:r>
      <w:r>
        <w:rPr>
          <w:rFonts w:ascii="宋体" w:hAnsi="宋体" w:eastAsia="宋体"/>
          <w:szCs w:val="21"/>
        </w:rPr>
        <w:t>/五学期，参加人力资源和社会保障部组织的农产品食品检验员考证或参加教育部组织的1+X粮农食品安全评价技能等级证书考证，获取中级的农产品食品检验员证书或粮农食品安全评价技能等级证书。</w:t>
      </w:r>
    </w:p>
    <w:p>
      <w:pPr>
        <w:snapToGrid w:val="0"/>
        <w:spacing w:line="380" w:lineRule="exact"/>
        <w:ind w:firstLine="472" w:firstLineChars="196"/>
        <w:outlineLvl w:val="0"/>
        <w:rPr>
          <w:rFonts w:ascii="宋体" w:hAnsi="宋体" w:eastAsia="宋体"/>
          <w:b/>
          <w:sz w:val="24"/>
        </w:rPr>
      </w:pPr>
      <w:r>
        <w:rPr>
          <w:rFonts w:hint="eastAsia" w:ascii="宋体" w:hAnsi="宋体" w:eastAsia="宋体"/>
          <w:b/>
          <w:sz w:val="24"/>
        </w:rPr>
        <w:t>五、人才规格与对应的课程</w:t>
      </w:r>
    </w:p>
    <w:p>
      <w:pPr>
        <w:spacing w:line="360" w:lineRule="exact"/>
        <w:ind w:firstLine="613" w:firstLineChars="292"/>
        <w:rPr>
          <w:rFonts w:ascii="宋体" w:hAnsi="宋体" w:eastAsia="宋体"/>
        </w:rPr>
      </w:pPr>
      <w:r>
        <w:rPr>
          <w:rFonts w:hint="eastAsia" w:ascii="宋体" w:hAnsi="宋体" w:eastAsia="宋体"/>
        </w:rPr>
        <w:t>表格内字体宋体小五号</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tcPr>
          <w:p>
            <w:pPr>
              <w:spacing w:line="240" w:lineRule="exact"/>
              <w:jc w:val="center"/>
              <w:rPr>
                <w:rFonts w:ascii="宋体" w:hAnsi="宋体" w:eastAsia="宋体"/>
                <w:sz w:val="18"/>
              </w:rPr>
            </w:pPr>
            <w:r>
              <w:rPr>
                <w:rFonts w:hint="eastAsia" w:ascii="宋体" w:hAnsi="宋体" w:eastAsia="宋体"/>
                <w:sz w:val="18"/>
              </w:rPr>
              <w:t>基本检验操作和仪器使用能力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仪器认知、有指导下的基本检验操作</w:t>
            </w:r>
          </w:p>
          <w:p>
            <w:pPr>
              <w:spacing w:line="240" w:lineRule="exact"/>
              <w:jc w:val="center"/>
              <w:rPr>
                <w:rFonts w:ascii="宋体" w:hAnsi="宋体" w:eastAsia="宋体"/>
                <w:sz w:val="18"/>
              </w:rPr>
            </w:pPr>
            <w:r>
              <w:rPr>
                <w:rFonts w:hint="eastAsia" w:ascii="宋体" w:hAnsi="宋体" w:eastAsia="宋体"/>
                <w:sz w:val="18"/>
              </w:rPr>
              <w:t>独立进行营养指标和有毒有害成分检验能力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粮食食品检验基础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tcPr>
          <w:p>
            <w:pPr>
              <w:spacing w:line="240" w:lineRule="exact"/>
              <w:jc w:val="center"/>
              <w:rPr>
                <w:rFonts w:ascii="宋体" w:hAnsi="宋体" w:eastAsia="宋体"/>
                <w:sz w:val="18"/>
              </w:rPr>
            </w:pPr>
            <w:r>
              <w:rPr>
                <w:rFonts w:hint="eastAsia" w:ascii="宋体" w:hAnsi="宋体" w:eastAsia="宋体"/>
                <w:sz w:val="18"/>
              </w:rPr>
              <w:t>营养与卫生指标检验能力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独立进行营养指标和有毒有害成分检验能力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粮食食品原料特性、食品理化检验、高端检验实务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微生物指标检验能力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独立进行微生物分析能力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食品微生物检验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综合检测能力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独立完成某一产品指标分析检测能力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粮食饲料检验、综合检验实务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生产管理及品质控制能力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加工工艺流程及品质检测能力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粮食食品企业入职培训、粮食食品安全与质量管理、粮食食品加工、粮食食品企业班组管理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营养推广和配餐能力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营养基础知识及推广工作、年龄差异化个性服务和配餐能力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营养推广、营养配餐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烘焙食品加工能力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烘焙食品加工能力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粮食食品加工、烘焙食品加工、烘焙食品综合实务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粮食食品营销能力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粮食食品营销能力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门店开发与运营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门店开发与运营创新实践能力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公共课部的创新课程及创新实践、门店开发与运营等课程及系列创新专业实践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综合职业能力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优良的职业素养和</w:t>
            </w:r>
          </w:p>
          <w:p>
            <w:pPr>
              <w:spacing w:line="240" w:lineRule="exact"/>
              <w:jc w:val="center"/>
              <w:rPr>
                <w:rFonts w:ascii="宋体" w:hAnsi="宋体" w:eastAsia="宋体"/>
                <w:sz w:val="18"/>
              </w:rPr>
            </w:pPr>
            <w:r>
              <w:rPr>
                <w:rFonts w:hint="eastAsia" w:ascii="宋体" w:hAnsi="宋体" w:eastAsia="宋体"/>
                <w:sz w:val="18"/>
              </w:rPr>
              <w:t>较高的综合职业能力</w:t>
            </w:r>
          </w:p>
        </w:tc>
        <w:tc>
          <w:tcPr>
            <w:tcW w:w="5115" w:type="dxa"/>
            <w:vAlign w:val="center"/>
          </w:tcPr>
          <w:p>
            <w:pPr>
              <w:spacing w:line="240" w:lineRule="exact"/>
              <w:jc w:val="center"/>
              <w:rPr>
                <w:rFonts w:ascii="宋体" w:hAnsi="宋体" w:eastAsia="宋体"/>
                <w:sz w:val="18"/>
              </w:rPr>
            </w:pPr>
            <w:r>
              <w:rPr>
                <w:rFonts w:hint="eastAsia" w:ascii="宋体" w:hAnsi="宋体" w:eastAsia="宋体"/>
                <w:sz w:val="18"/>
              </w:rPr>
              <w:t>教学过程中始终要实施规范化操作，专业社团（食检精英社）和创客空间（五谷杂粮创意坊）活动，粮工楼实训场所开放，邀请企业有实践经验人士为学生做专题讲座，带学生外出参观，暑期实践，职业生涯规划等</w:t>
            </w:r>
          </w:p>
        </w:tc>
      </w:tr>
    </w:tbl>
    <w:p>
      <w:pPr>
        <w:spacing w:line="360" w:lineRule="exact"/>
        <w:ind w:firstLine="613" w:firstLineChars="292"/>
        <w:rPr>
          <w:rFonts w:ascii="宋体" w:hAnsi="宋体" w:eastAsia="宋体"/>
        </w:rPr>
      </w:pPr>
    </w:p>
    <w:p>
      <w:pPr>
        <w:snapToGrid w:val="0"/>
        <w:spacing w:line="380" w:lineRule="exact"/>
        <w:ind w:firstLine="236" w:firstLineChars="98"/>
        <w:outlineLvl w:val="0"/>
        <w:rPr>
          <w:rFonts w:ascii="宋体" w:hAnsi="宋体" w:eastAsia="宋体"/>
          <w:b/>
          <w:bCs/>
          <w:sz w:val="24"/>
        </w:rPr>
      </w:pPr>
      <w:r>
        <w:rPr>
          <w:rFonts w:hint="eastAsia" w:ascii="宋体" w:hAnsi="宋体" w:eastAsia="宋体"/>
          <w:b/>
          <w:sz w:val="24"/>
        </w:rPr>
        <w:t>六、课程设置及时间安排</w:t>
      </w:r>
    </w:p>
    <w:p>
      <w:pPr>
        <w:numPr>
          <w:ilvl w:val="0"/>
          <w:numId w:val="3"/>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ascii="仿宋_GB2312" w:hAnsi="Times New Roman" w:eastAsia="仿宋_GB2312" w:cs="Times New Roman"/>
        </w:rPr>
        <w:t xml:space="preserve"> 1.军事理论（4901041110）（36学时）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2.军事训练（4901041140）（112学时）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（4901041141）（48学时）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ascii="仿宋_GB2312" w:hAnsi="宋体" w:eastAsia="仿宋_GB2312" w:cs="宋体"/>
          <w:kern w:val="0"/>
          <w:szCs w:val="21"/>
        </w:rPr>
        <w:t>4901041142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ascii="宋体" w:hAnsi="宋体" w:eastAsia="宋体" w:cs="宋体"/>
          <w:kern w:val="0"/>
          <w:szCs w:val="21"/>
        </w:rPr>
        <w:t>4901041143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ascii="宋体" w:hAnsi="宋体" w:eastAsia="宋体" w:cs="宋体"/>
          <w:kern w:val="0"/>
          <w:szCs w:val="21"/>
        </w:rPr>
        <w:t>49010411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和党的十九大以及十九届一中、二中、三中、四中全会精神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ascii="宋体" w:hAnsi="宋体" w:eastAsia="宋体" w:cs="宋体"/>
          <w:kern w:val="0"/>
          <w:szCs w:val="21"/>
        </w:rPr>
        <w:t>49010411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ascii="宋体" w:hAnsi="宋体" w:eastAsia="宋体" w:cs="宋体"/>
          <w:kern w:val="0"/>
          <w:szCs w:val="21"/>
        </w:rPr>
        <w:t>49010411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ascii="宋体" w:hAnsi="宋体" w:eastAsia="宋体" w:cs="宋体"/>
          <w:kern w:val="0"/>
          <w:szCs w:val="21"/>
        </w:rPr>
        <w:t>49010411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ascii="宋体" w:hAnsi="宋体" w:eastAsia="宋体" w:cs="宋体"/>
          <w:kern w:val="0"/>
          <w:szCs w:val="21"/>
        </w:rPr>
        <w:t>49010411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ascii="仿宋_GB2312" w:hAnsi="宋体" w:eastAsia="仿宋_GB2312" w:cs="宋体"/>
          <w:kern w:val="0"/>
          <w:szCs w:val="21"/>
        </w:rPr>
        <w:t>4901041151</w:t>
      </w:r>
      <w:r>
        <w:rPr>
          <w:rFonts w:hint="eastAsia" w:ascii="宋体" w:hAnsi="宋体" w:eastAsia="宋体" w:cs="宋体"/>
          <w:kern w:val="0"/>
          <w:szCs w:val="21"/>
        </w:rPr>
        <w:t>A）、跆拳道训练（</w:t>
      </w:r>
      <w:r>
        <w:rPr>
          <w:rFonts w:ascii="宋体" w:hAnsi="宋体" w:eastAsia="宋体" w:cs="宋体"/>
          <w:kern w:val="0"/>
          <w:szCs w:val="21"/>
        </w:rPr>
        <w:t>49010411</w:t>
      </w:r>
      <w:r>
        <w:rPr>
          <w:rFonts w:hint="eastAsia" w:ascii="宋体" w:hAnsi="宋体" w:eastAsia="宋体" w:cs="宋体"/>
          <w:kern w:val="0"/>
          <w:szCs w:val="21"/>
        </w:rPr>
        <w:t>51B）、健美操训练（</w:t>
      </w:r>
      <w:r>
        <w:rPr>
          <w:rFonts w:ascii="宋体" w:hAnsi="宋体" w:eastAsia="宋体" w:cs="宋体"/>
          <w:kern w:val="0"/>
          <w:szCs w:val="21"/>
        </w:rPr>
        <w:t>49010411</w:t>
      </w:r>
      <w:r>
        <w:rPr>
          <w:rFonts w:hint="eastAsia" w:ascii="宋体" w:hAnsi="宋体" w:eastAsia="宋体" w:cs="宋体"/>
          <w:kern w:val="0"/>
          <w:szCs w:val="21"/>
        </w:rPr>
        <w:t>51C）、篮球训练（</w:t>
      </w:r>
      <w:r>
        <w:rPr>
          <w:rFonts w:ascii="宋体" w:hAnsi="宋体" w:eastAsia="宋体" w:cs="宋体"/>
          <w:kern w:val="0"/>
          <w:szCs w:val="21"/>
        </w:rPr>
        <w:t>49010411</w:t>
      </w:r>
      <w:r>
        <w:rPr>
          <w:rFonts w:hint="eastAsia" w:ascii="宋体" w:hAnsi="宋体" w:eastAsia="宋体" w:cs="宋体"/>
          <w:kern w:val="0"/>
          <w:szCs w:val="21"/>
        </w:rPr>
        <w:t>51D）、足球训练（</w:t>
      </w:r>
      <w:r>
        <w:rPr>
          <w:rFonts w:ascii="宋体" w:hAnsi="宋体" w:eastAsia="宋体" w:cs="宋体"/>
          <w:kern w:val="0"/>
          <w:szCs w:val="21"/>
        </w:rPr>
        <w:t>49010411</w:t>
      </w:r>
      <w:r>
        <w:rPr>
          <w:rFonts w:hint="eastAsia" w:ascii="宋体" w:hAnsi="宋体" w:eastAsia="宋体" w:cs="宋体"/>
          <w:kern w:val="0"/>
          <w:szCs w:val="21"/>
        </w:rPr>
        <w:t>51E）、排球训练（</w:t>
      </w:r>
      <w:r>
        <w:rPr>
          <w:rFonts w:ascii="宋体" w:hAnsi="宋体" w:eastAsia="宋体" w:cs="宋体"/>
          <w:kern w:val="0"/>
          <w:szCs w:val="21"/>
        </w:rPr>
        <w:t>49010411</w:t>
      </w:r>
      <w:r>
        <w:rPr>
          <w:rFonts w:hint="eastAsia" w:ascii="宋体" w:hAnsi="宋体" w:eastAsia="宋体" w:cs="宋体"/>
          <w:kern w:val="0"/>
          <w:szCs w:val="21"/>
        </w:rPr>
        <w:t>51F）、羽毛球训练（</w:t>
      </w:r>
      <w:r>
        <w:rPr>
          <w:rFonts w:ascii="宋体" w:hAnsi="宋体" w:eastAsia="宋体" w:cs="宋体"/>
          <w:kern w:val="0"/>
          <w:szCs w:val="21"/>
        </w:rPr>
        <w:t>49010411</w:t>
      </w:r>
      <w:r>
        <w:rPr>
          <w:rFonts w:hint="eastAsia" w:ascii="宋体" w:hAnsi="宋体" w:eastAsia="宋体" w:cs="宋体"/>
          <w:kern w:val="0"/>
          <w:szCs w:val="21"/>
        </w:rPr>
        <w:t>51G）、网球训练（</w:t>
      </w:r>
      <w:r>
        <w:rPr>
          <w:rFonts w:ascii="宋体" w:hAnsi="宋体" w:eastAsia="宋体" w:cs="宋体"/>
          <w:kern w:val="0"/>
          <w:szCs w:val="21"/>
        </w:rPr>
        <w:t>49010411</w:t>
      </w:r>
      <w:r>
        <w:rPr>
          <w:rFonts w:hint="eastAsia" w:ascii="宋体" w:hAnsi="宋体" w:eastAsia="宋体" w:cs="宋体"/>
          <w:kern w:val="0"/>
          <w:szCs w:val="21"/>
        </w:rPr>
        <w:t>51H）、乒乓球训练（</w:t>
      </w:r>
      <w:r>
        <w:rPr>
          <w:rFonts w:ascii="宋体" w:hAnsi="宋体" w:eastAsia="宋体" w:cs="宋体"/>
          <w:kern w:val="0"/>
          <w:szCs w:val="21"/>
        </w:rPr>
        <w:t>49010411</w:t>
      </w:r>
      <w:r>
        <w:rPr>
          <w:rFonts w:hint="eastAsia" w:ascii="宋体" w:hAnsi="宋体" w:eastAsia="宋体" w:cs="宋体"/>
          <w:kern w:val="0"/>
          <w:szCs w:val="21"/>
        </w:rPr>
        <w:t>51J）、武术基础训练（</w:t>
      </w:r>
      <w:r>
        <w:rPr>
          <w:rFonts w:ascii="宋体" w:hAnsi="宋体" w:eastAsia="宋体" w:cs="宋体"/>
          <w:kern w:val="0"/>
          <w:szCs w:val="21"/>
        </w:rPr>
        <w:t>49010411</w:t>
      </w:r>
      <w:r>
        <w:rPr>
          <w:rFonts w:hint="eastAsia" w:ascii="宋体" w:hAnsi="宋体" w:eastAsia="宋体" w:cs="宋体"/>
          <w:kern w:val="0"/>
          <w:szCs w:val="21"/>
        </w:rPr>
        <w:t>51K）、瑜伽基础训练（</w:t>
      </w:r>
      <w:r>
        <w:rPr>
          <w:rFonts w:ascii="宋体" w:hAnsi="宋体" w:eastAsia="宋体" w:cs="宋体"/>
          <w:kern w:val="0"/>
          <w:szCs w:val="21"/>
        </w:rPr>
        <w:t>49010411</w:t>
      </w:r>
      <w:r>
        <w:rPr>
          <w:rFonts w:hint="eastAsia" w:ascii="宋体" w:hAnsi="宋体" w:eastAsia="宋体" w:cs="宋体"/>
          <w:kern w:val="0"/>
          <w:szCs w:val="21"/>
        </w:rPr>
        <w:t>51L）、拉丁舞（</w:t>
      </w:r>
      <w:r>
        <w:rPr>
          <w:rFonts w:ascii="宋体" w:hAnsi="宋体" w:eastAsia="宋体" w:cs="宋体"/>
          <w:kern w:val="0"/>
          <w:szCs w:val="21"/>
        </w:rPr>
        <w:t>49010411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ascii="仿宋_GB2312" w:hAnsi="宋体" w:eastAsia="仿宋_GB2312" w:cs="宋体"/>
          <w:kern w:val="0"/>
          <w:szCs w:val="21"/>
        </w:rPr>
        <w:t>49010411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ascii="仿宋_GB2312" w:hAnsi="宋体" w:eastAsia="仿宋_GB2312" w:cs="宋体"/>
          <w:kern w:val="0"/>
          <w:szCs w:val="21"/>
        </w:rPr>
        <w:t>4901041144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ascii="仿宋_GB2312" w:hAnsi="宋体" w:eastAsia="仿宋_GB2312" w:cs="宋体"/>
          <w:kern w:val="0"/>
          <w:szCs w:val="21"/>
        </w:rPr>
        <w:t>49010411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ascii="仿宋_GB2312" w:hAnsi="宋体" w:eastAsia="仿宋_GB2312" w:cs="宋体"/>
          <w:kern w:val="0"/>
          <w:szCs w:val="21"/>
        </w:rPr>
        <w:t>4901041145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ascii="仿宋_GB2312" w:hAnsi="宋体" w:eastAsia="仿宋_GB2312" w:cs="宋体"/>
          <w:kern w:val="0"/>
          <w:szCs w:val="21"/>
        </w:rPr>
        <w:t>4901041146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16.大学生安全教育（4901041147）（16学时）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17.大学生健康教育（4901041148）（16学时）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49010411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 劳动教育（</w:t>
      </w:r>
      <w:r>
        <w:rPr>
          <w:rFonts w:ascii="仿宋" w:hAnsi="仿宋" w:eastAsia="仿宋" w:cs="仿宋"/>
          <w:kern w:val="0"/>
          <w:szCs w:val="21"/>
        </w:rPr>
        <w:t>49010411</w:t>
      </w:r>
      <w:r>
        <w:rPr>
          <w:rFonts w:hint="eastAsia" w:ascii="仿宋" w:hAnsi="仿宋" w:eastAsia="仿宋" w:cs="仿宋"/>
          <w:kern w:val="0"/>
          <w:szCs w:val="21"/>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rPr>
        <w:t>本课程是促进学生德智体美</w:t>
      </w:r>
      <w:r>
        <w:rPr>
          <w:rFonts w:hint="eastAsia" w:ascii="Times New Roman" w:hAnsi="Times New Roman" w:eastAsia="宋体" w:cs="Times New Roman"/>
          <w:lang w:val="en-US" w:eastAsia="zh-CN"/>
        </w:rPr>
        <w:t>劳</w:t>
      </w:r>
      <w:r>
        <w:rPr>
          <w:rFonts w:hint="eastAsia" w:ascii="Times New Roman" w:hAnsi="Times New Roman" w:eastAsia="宋体" w:cs="Times New Roman"/>
        </w:rPr>
        <w:t>全面发展的重要组成部分，课程分理论与实践两部分，理论部分线上教学为主共</w:t>
      </w:r>
      <w:r>
        <w:rPr>
          <w:rFonts w:ascii="Times New Roman" w:hAnsi="Times New Roman" w:eastAsia="宋体" w:cs="Times New Roman"/>
        </w:rPr>
        <w:t>16学时</w:t>
      </w:r>
      <w:r>
        <w:rPr>
          <w:rFonts w:hint="eastAsia" w:ascii="Times New Roman" w:hAnsi="Times New Roman" w:eastAsia="宋体" w:cs="Times New Roman"/>
        </w:rPr>
        <w:t>，</w:t>
      </w:r>
      <w:r>
        <w:rPr>
          <w:rFonts w:ascii="Times New Roman" w:hAnsi="Times New Roman" w:eastAsia="宋体" w:cs="Times New Roman"/>
        </w:rPr>
        <w:t>由公共课教学部负责实施，实践部分是学生在校期间参加课外劳动</w:t>
      </w:r>
      <w:r>
        <w:rPr>
          <w:rFonts w:hint="eastAsia" w:ascii="Times New Roman" w:hAnsi="Times New Roman" w:eastAsia="宋体" w:cs="Times New Roman"/>
        </w:rPr>
        <w:t>、</w:t>
      </w:r>
      <w:r>
        <w:rPr>
          <w:rFonts w:ascii="Times New Roman" w:hAnsi="Times New Roman" w:eastAsia="宋体" w:cs="Times New Roman"/>
        </w:rPr>
        <w:t>参加青年志愿者、学院包干区打扫、学院活动后勤保障工作、系</w:t>
      </w:r>
      <w:r>
        <w:rPr>
          <w:rFonts w:hint="eastAsia" w:ascii="Times New Roman" w:hAnsi="Times New Roman" w:eastAsia="宋体" w:cs="Times New Roman"/>
        </w:rPr>
        <w:t>（</w:t>
      </w:r>
      <w:r>
        <w:rPr>
          <w:rFonts w:ascii="Times New Roman" w:hAnsi="Times New Roman" w:eastAsia="宋体" w:cs="Times New Roman"/>
        </w:rPr>
        <w:t>部</w:t>
      </w:r>
      <w:r>
        <w:rPr>
          <w:rFonts w:hint="eastAsia" w:ascii="Times New Roman" w:hAnsi="Times New Roman" w:eastAsia="宋体" w:cs="Times New Roman"/>
        </w:rPr>
        <w:t>）</w:t>
      </w:r>
      <w:r>
        <w:rPr>
          <w:rFonts w:ascii="Times New Roman" w:hAnsi="Times New Roman" w:eastAsia="宋体" w:cs="Times New Roman"/>
        </w:rPr>
        <w:t>劳动安排等活动。系</w:t>
      </w:r>
      <w:r>
        <w:rPr>
          <w:rFonts w:hint="eastAsia" w:ascii="Times New Roman" w:hAnsi="Times New Roman" w:eastAsia="宋体" w:cs="Times New Roman"/>
        </w:rPr>
        <w:t>（</w:t>
      </w:r>
      <w:r>
        <w:rPr>
          <w:rFonts w:ascii="Times New Roman" w:hAnsi="Times New Roman" w:eastAsia="宋体" w:cs="Times New Roman"/>
        </w:rPr>
        <w:t>部</w:t>
      </w:r>
      <w:r>
        <w:rPr>
          <w:rFonts w:hint="eastAsia" w:ascii="Times New Roman" w:hAnsi="Times New Roman" w:eastAsia="宋体" w:cs="Times New Roman"/>
        </w:rPr>
        <w:t>）</w:t>
      </w:r>
      <w:r>
        <w:rPr>
          <w:rFonts w:ascii="Times New Roman" w:hAnsi="Times New Roman" w:eastAsia="宋体" w:cs="Times New Roman"/>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ascii="仿宋_GB2312" w:hAnsi="仿宋_GB2312" w:eastAsia="仿宋_GB2312" w:cs="仿宋_GB2312"/>
          <w:kern w:val="0"/>
          <w:szCs w:val="21"/>
        </w:rPr>
        <w:t>49010411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ascii="宋体" w:hAnsi="宋体" w:eastAsia="宋体"/>
        </w:rPr>
      </w:pPr>
      <w:r>
        <w:rPr>
          <w:rFonts w:hint="eastAsia" w:ascii="宋体" w:hAnsi="宋体" w:eastAsia="宋体"/>
        </w:rPr>
        <w:t>1.平台共享课程</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1）粮食食品企业入职培训（4901041240）（30学时，其中实训12学时）</w:t>
      </w:r>
    </w:p>
    <w:p>
      <w:pPr>
        <w:spacing w:line="360" w:lineRule="exact"/>
        <w:ind w:firstLine="420" w:firstLineChars="200"/>
        <w:rPr>
          <w:rFonts w:ascii="宋体" w:hAnsi="宋体" w:eastAsia="宋体"/>
        </w:rPr>
      </w:pPr>
      <w:r>
        <w:rPr>
          <w:rFonts w:hint="eastAsia" w:ascii="宋体" w:hAnsi="宋体" w:eastAsia="宋体"/>
        </w:rPr>
        <w:t>本课程为粮食工程技术专业群必修的平台共享课程，学生作为新入职员工和粮食企业的生产学徒岗位人员，对粮食工业及企业有一个总体的认识，能够叙述本行业从业人员的基本要求、能够叙述粮食的收购储藏流程、大米饲料食品的生产工艺流程，能够识别粮食的收购储藏设备及大米饲料食品的生产设备并叙述其基本功能，能完成设备外部清洁及车间清洁，并能在有指导的情况下完成生产基本操作。教师应综合运用讲授、任务驱动、演示实验、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2）粮食食品检验基础（4901041210）（85时，其中实训50学时）</w:t>
      </w:r>
    </w:p>
    <w:p>
      <w:pPr>
        <w:spacing w:line="360" w:lineRule="exact"/>
        <w:ind w:firstLine="420" w:firstLineChars="200"/>
        <w:rPr>
          <w:rFonts w:ascii="宋体" w:hAnsi="宋体" w:eastAsia="宋体"/>
        </w:rPr>
      </w:pPr>
      <w:r>
        <w:rPr>
          <w:rFonts w:hint="eastAsia" w:ascii="宋体" w:hAnsi="宋体" w:eastAsia="宋体"/>
        </w:rPr>
        <w:t>本课程为粮食工程技术专业群必修的平台共享课程，主要学习检验操作基本知识及基本实验技能，包括定量分析、酸碱滴定、氧化还原滴定、沉淀滴定、配位滴定等。通过课程学习，学生作为新入职员工和粮食、饲料、食品检验学徒岗位人员，能熟练进行样品扦样、制备、保管；能够熟练使用天平进行称量样品；能够熟练洗涤、干燥、保管、使用常用玻璃仪器；能够熟练进行溶液的配制与标定，能在有指导的情况下完成检验基本操作；并通过以上技能的学习，培养学生的工匠精神。教师应综合运用讲授、任务驱动、演示实验、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3）粮食食品安全与质量管理（4901041250）（68学时，其中实训28时）</w:t>
      </w:r>
    </w:p>
    <w:p>
      <w:pPr>
        <w:spacing w:line="360" w:lineRule="exact"/>
        <w:ind w:firstLine="420" w:firstLineChars="200"/>
        <w:rPr>
          <w:rFonts w:ascii="宋体" w:hAnsi="宋体" w:eastAsia="宋体"/>
        </w:rPr>
      </w:pPr>
      <w:r>
        <w:rPr>
          <w:rFonts w:hint="eastAsia" w:ascii="宋体" w:hAnsi="宋体" w:eastAsia="宋体"/>
        </w:rPr>
        <w:t>本课程为粮食工程技术专业群必修的平台共享课程，主要学习粮食食品质量管理的基本理论和方法，粮食食品质量管理的法规与标准，粮食食品安全质量控制的内容。通过本课程的学习，学生能运用质量管理（</w:t>
      </w:r>
      <w:r>
        <w:rPr>
          <w:rFonts w:ascii="宋体" w:hAnsi="宋体" w:eastAsia="宋体"/>
        </w:rPr>
        <w:t>QC），针对实施ISO22000质量管理体系企业的内审案例判断合格或不合格；判断场景或案例是否符合食品良好操作规范GMP的基本要求，是否符合卫生标准操作程序SSOP的基本要求；针对案例的生产过程能进行危害分析，找出关键控制点，编制HACCP计划初稿；判断场景或案例是否符合粮食食品质量安全管理规范的要求；深刻理解社会主义核心价</w:t>
      </w:r>
      <w:r>
        <w:rPr>
          <w:rFonts w:hint="eastAsia" w:ascii="宋体" w:hAnsi="宋体" w:eastAsia="宋体"/>
        </w:rPr>
        <w:t>值观社会层面中公正、法治的涵义，理解食品安全法等相关法律法规在实现公正、法治方面的重要作用；深刻理解社会主义核心价值观公民层面中诚信的涵义，在工作中诚实劳动，杜绝弄虚作假，保障食品安全。教师应结合企业案例综合运用讲授、启发式、情景模拟、案例分析、问题讨论、综合练习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4）粮食食品企业班组管理（4901041260）（64学时，其中实训24学时）</w:t>
      </w:r>
    </w:p>
    <w:p>
      <w:pPr>
        <w:spacing w:line="360" w:lineRule="exact"/>
        <w:ind w:firstLine="420" w:firstLineChars="200"/>
        <w:rPr>
          <w:rFonts w:ascii="宋体" w:hAnsi="宋体" w:eastAsia="宋体"/>
        </w:rPr>
      </w:pPr>
      <w:r>
        <w:rPr>
          <w:rFonts w:hint="eastAsia" w:ascii="宋体" w:hAnsi="宋体" w:eastAsia="宋体"/>
        </w:rPr>
        <w:t>本课程为粮食工程技术专业群必修的平台共享课程，主要学习粮食企业中生产管理、品质管理、仓储管理等类型的基层管理岗位的工作内容和工作要求，包括班组作业管理、班组现场管理、班组人员管理、班组质量管理、班组设备管理、班组安全管理、班组经济核算等。通过本课程的学习，学生能够掌握成为一名班组长所需的知识与技能，并具备初步的管理实践能力；深刻理解社会主义核心价值观公民层面中敬业、友善的涵义，培养忠于职守、服务社会的职业精神和互相关心、互相帮助的团队合作精神。教师应综合运用讲授、启发、情景模拟、案例分析、任务驱动、问题讨论等方式方法和现代多媒体、互联网等教学手段组织教学。</w:t>
      </w:r>
    </w:p>
    <w:p>
      <w:pPr>
        <w:spacing w:line="360" w:lineRule="exact"/>
        <w:ind w:firstLine="420" w:firstLineChars="200"/>
        <w:rPr>
          <w:rFonts w:ascii="宋体" w:hAnsi="宋体" w:eastAsia="宋体"/>
        </w:rPr>
      </w:pPr>
      <w:r>
        <w:rPr>
          <w:rFonts w:ascii="宋体" w:hAnsi="宋体" w:eastAsia="宋体"/>
        </w:rPr>
        <w:t>2.特色分立课程</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1）营养推广（4901041211）（60时，其中实训20学时）</w:t>
      </w:r>
    </w:p>
    <w:p>
      <w:pPr>
        <w:spacing w:line="360" w:lineRule="exact"/>
        <w:ind w:firstLine="420" w:firstLineChars="200"/>
        <w:rPr>
          <w:rFonts w:ascii="宋体" w:hAnsi="宋体" w:eastAsia="宋体"/>
        </w:rPr>
      </w:pPr>
      <w:r>
        <w:rPr>
          <w:rFonts w:hint="eastAsia" w:ascii="宋体" w:hAnsi="宋体" w:eastAsia="宋体"/>
        </w:rPr>
        <w:t>本课程为专业技术课，主要学习人体解剖生理基础、食物的消化与吸收、能量与营养素、各类食物的营养价值、合理营养与膳食指南、食品的营养强化等基础知识以及营养推广工作。通过课程学习和实训，学生应掌握利用社区媒体、市场媒体、专题讲座等途径将食物的营养与安全推荐给大众群体，制定营养推广计划，开展营养与健康科普宣传教育活动，让目标客户群在最短时间内了解营养健康知识。教师应综合运用讲授、启发式、任务驱动、演示实验、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2）粮食食品原料特性（49010412</w:t>
      </w:r>
      <w:r>
        <w:rPr>
          <w:rFonts w:hint="eastAsia" w:ascii="Times New Roman" w:hAnsi="Times New Roman" w:eastAsia="仿宋_GB2312" w:cs="Times New Roman"/>
          <w:szCs w:val="21"/>
        </w:rPr>
        <w:t>4</w:t>
      </w:r>
      <w:r>
        <w:rPr>
          <w:rFonts w:ascii="Times New Roman" w:hAnsi="Times New Roman" w:eastAsia="仿宋_GB2312" w:cs="Times New Roman"/>
          <w:szCs w:val="21"/>
        </w:rPr>
        <w:t>1）（68</w:t>
      </w:r>
      <w:r>
        <w:rPr>
          <w:rFonts w:hint="eastAsia" w:ascii="Times New Roman" w:hAnsi="Times New Roman" w:eastAsia="仿宋_GB2312" w:cs="Times New Roman"/>
          <w:szCs w:val="21"/>
        </w:rPr>
        <w:t>学</w:t>
      </w:r>
      <w:r>
        <w:rPr>
          <w:rFonts w:ascii="Times New Roman" w:hAnsi="Times New Roman" w:eastAsia="仿宋_GB2312" w:cs="Times New Roman"/>
          <w:szCs w:val="21"/>
        </w:rPr>
        <w:t>时，其中实训20学时）</w:t>
      </w:r>
    </w:p>
    <w:p>
      <w:pPr>
        <w:spacing w:line="360" w:lineRule="exact"/>
        <w:ind w:firstLine="420" w:firstLineChars="200"/>
        <w:rPr>
          <w:rFonts w:ascii="宋体" w:hAnsi="宋体" w:eastAsia="宋体"/>
        </w:rPr>
      </w:pPr>
      <w:r>
        <w:rPr>
          <w:rFonts w:hint="eastAsia" w:ascii="宋体" w:hAnsi="宋体" w:eastAsia="宋体"/>
        </w:rPr>
        <w:t>本课程为专业技术课，主要学习粮食籽粒结构及化学成分，学习粮食食品原料有机体各组成成分的结构、性质及其生理功能，粮食食品的安全性以及在贮藏、加工过程中产生的变化。通过本课程的学习和实验，学生应掌握粮食食品原料特性的基本理论和实验的方法与技能。教师应综合运用讲授、启发式、任务驱动、演示实验、学生实训、课堂讨论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3）食品理化检验（N4901041220）（</w:t>
      </w:r>
      <w:r>
        <w:rPr>
          <w:rFonts w:hint="eastAsia" w:ascii="Times New Roman" w:hAnsi="Times New Roman" w:eastAsia="仿宋_GB2312" w:cs="Times New Roman"/>
          <w:szCs w:val="21"/>
        </w:rPr>
        <w:t>1</w:t>
      </w:r>
      <w:r>
        <w:rPr>
          <w:rFonts w:ascii="Times New Roman" w:hAnsi="Times New Roman" w:eastAsia="仿宋_GB2312" w:cs="Times New Roman"/>
          <w:szCs w:val="21"/>
        </w:rPr>
        <w:t>02</w:t>
      </w:r>
      <w:r>
        <w:rPr>
          <w:rFonts w:hint="eastAsia" w:ascii="Times New Roman" w:hAnsi="Times New Roman" w:eastAsia="仿宋_GB2312" w:cs="Times New Roman"/>
          <w:szCs w:val="21"/>
        </w:rPr>
        <w:t>学时，其中</w:t>
      </w:r>
      <w:r>
        <w:rPr>
          <w:rFonts w:ascii="Times New Roman" w:hAnsi="Times New Roman" w:eastAsia="仿宋_GB2312" w:cs="Times New Roman"/>
          <w:szCs w:val="21"/>
        </w:rPr>
        <w:t>实训</w:t>
      </w:r>
      <w:r>
        <w:rPr>
          <w:rFonts w:hint="eastAsia" w:ascii="Times New Roman" w:hAnsi="Times New Roman" w:eastAsia="仿宋_GB2312" w:cs="Times New Roman"/>
          <w:szCs w:val="21"/>
        </w:rPr>
        <w:t>68</w:t>
      </w:r>
      <w:r>
        <w:rPr>
          <w:rFonts w:ascii="Times New Roman" w:hAnsi="Times New Roman" w:eastAsia="仿宋_GB2312" w:cs="Times New Roman"/>
          <w:szCs w:val="21"/>
        </w:rPr>
        <w:t>学时）</w:t>
      </w:r>
    </w:p>
    <w:p>
      <w:pPr>
        <w:spacing w:line="360" w:lineRule="exact"/>
        <w:ind w:firstLine="420" w:firstLineChars="200"/>
        <w:rPr>
          <w:rFonts w:ascii="宋体" w:hAnsi="宋体" w:eastAsia="宋体"/>
        </w:rPr>
      </w:pPr>
      <w:r>
        <w:rPr>
          <w:rFonts w:hint="eastAsia" w:ascii="宋体" w:hAnsi="宋体" w:eastAsia="宋体"/>
        </w:rPr>
        <w:t>本课程为核心专业技术课，以“培养熟练掌握现代食品理化检验”为目标，主要学习食品样品的采取和处理、食品物理检验法、食品一般成分的测定、矿物质元素的测定、功能成分的测定、添加剂的测定、有害物质的检验与测定等基本知识和检验方法。通过本课程的学习，学生可逐步获得独立进行食品理化检验的工作能力，根据原始记录，认真、独立、规范地完成检验报告，并通过以上技能的学习，培养学生的工匠精神。教师应综合运用讲授、启发式、任务驱动、演示实验、学生实训、课后讲解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4）食品微生物检验（N4901041221）（102学时，其中实训72学时）</w:t>
      </w:r>
    </w:p>
    <w:p>
      <w:pPr>
        <w:spacing w:line="360" w:lineRule="exact"/>
        <w:ind w:firstLine="420" w:firstLineChars="200"/>
        <w:rPr>
          <w:rFonts w:ascii="宋体" w:hAnsi="宋体" w:eastAsia="宋体"/>
        </w:rPr>
      </w:pPr>
      <w:r>
        <w:rPr>
          <w:rFonts w:hint="eastAsia" w:ascii="宋体" w:hAnsi="宋体" w:eastAsia="宋体"/>
        </w:rPr>
        <w:t>本课程为核心专业技术课，主要学习微生物化验室常用仪器、食品的微生物污染和腐败变质、食品微生物检验样品的采集与处理、细菌检查方法、菌落总数的测定、大肠菌群测定、常见致病菌检验、细菌性食物中毒以及食品中抗生素的残留与检验等，并通过以上技能的学习，培养学生的工匠精神。通过本课程的学习和实验，学生应掌握食品微生物的基本实验技能和检验方法，规范独立地进行操作，为日后从事食品检验奠定扎实基础。教师应综合运用讲授、启发式、任务驱动、演示实验、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5）营养配餐（490104125</w:t>
      </w:r>
      <w:r>
        <w:rPr>
          <w:rFonts w:hint="eastAsia" w:ascii="Times New Roman" w:hAnsi="Times New Roman" w:eastAsia="仿宋_GB2312" w:cs="Times New Roman"/>
          <w:szCs w:val="21"/>
        </w:rPr>
        <w:t>1</w:t>
      </w:r>
      <w:r>
        <w:rPr>
          <w:rFonts w:ascii="Times New Roman" w:hAnsi="Times New Roman" w:eastAsia="仿宋_GB2312" w:cs="Times New Roman"/>
          <w:szCs w:val="21"/>
        </w:rPr>
        <w:t>）（</w:t>
      </w:r>
      <w:r>
        <w:rPr>
          <w:rFonts w:hint="eastAsia" w:ascii="Times New Roman" w:hAnsi="Times New Roman" w:eastAsia="仿宋_GB2312" w:cs="Times New Roman"/>
          <w:szCs w:val="21"/>
        </w:rPr>
        <w:t>68</w:t>
      </w:r>
      <w:r>
        <w:rPr>
          <w:rFonts w:ascii="Times New Roman" w:hAnsi="Times New Roman" w:eastAsia="仿宋_GB2312" w:cs="Times New Roman"/>
          <w:szCs w:val="21"/>
        </w:rPr>
        <w:t>学时，其中实训</w:t>
      </w:r>
      <w:r>
        <w:rPr>
          <w:rFonts w:hint="eastAsia" w:ascii="Times New Roman" w:hAnsi="Times New Roman" w:eastAsia="仿宋_GB2312" w:cs="Times New Roman"/>
          <w:szCs w:val="21"/>
        </w:rPr>
        <w:t>40</w:t>
      </w:r>
      <w:r>
        <w:rPr>
          <w:rFonts w:ascii="Times New Roman" w:hAnsi="Times New Roman" w:eastAsia="仿宋_GB2312" w:cs="Times New Roman"/>
          <w:szCs w:val="21"/>
        </w:rPr>
        <w:t>学时）</w:t>
      </w:r>
    </w:p>
    <w:p>
      <w:pPr>
        <w:spacing w:line="360" w:lineRule="exact"/>
        <w:ind w:firstLine="420" w:firstLineChars="200"/>
        <w:rPr>
          <w:rFonts w:ascii="宋体" w:hAnsi="宋体" w:eastAsia="宋体"/>
        </w:rPr>
      </w:pPr>
      <w:r>
        <w:rPr>
          <w:rFonts w:hint="eastAsia" w:ascii="宋体" w:hAnsi="宋体" w:eastAsia="宋体"/>
        </w:rPr>
        <w:t>本课程为核心专业技术课，主要学习营养配餐的基本知识及现实操作技能，包括：孕妇、幼儿、青少年、老年等不同年龄段及特殊人群配餐的基本常识，学生应掌握常规配餐理论知识及配餐的基本方法；掌握每个人群的差异进行个性化服务和配餐技巧，培养学生按规范独立进行操作的能力。教师应综合应用讲授、启发式、任务驱动、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6）粮食食品加工（490104125</w:t>
      </w:r>
      <w:r>
        <w:rPr>
          <w:rFonts w:hint="eastAsia" w:ascii="Times New Roman" w:hAnsi="Times New Roman" w:eastAsia="仿宋_GB2312" w:cs="Times New Roman"/>
          <w:szCs w:val="21"/>
        </w:rPr>
        <w:t>2</w:t>
      </w:r>
      <w:r>
        <w:rPr>
          <w:rFonts w:ascii="Times New Roman" w:hAnsi="Times New Roman" w:eastAsia="仿宋_GB2312" w:cs="Times New Roman"/>
          <w:szCs w:val="21"/>
        </w:rPr>
        <w:t>）（68学时，其中实训36学时）</w:t>
      </w:r>
    </w:p>
    <w:p>
      <w:pPr>
        <w:spacing w:line="360" w:lineRule="exact"/>
        <w:ind w:firstLine="420" w:firstLineChars="200"/>
        <w:rPr>
          <w:rFonts w:ascii="宋体" w:hAnsi="宋体" w:eastAsia="宋体"/>
        </w:rPr>
      </w:pPr>
      <w:r>
        <w:rPr>
          <w:rFonts w:hint="eastAsia" w:ascii="宋体" w:hAnsi="宋体" w:eastAsia="宋体"/>
        </w:rPr>
        <w:t>本课程为专业技术课，学习大米、饲料或烘焙食品等加工基本原料以及生产工艺流程；各主要生产设备结构、工作原理、性能、操作方法以及在生产过程中影响产量和质量的因素。通过本课程的学习，学生对加工工艺流程的各个环节都相当地熟悉，为日后从事品质控制工作或食品质量安全工作奠定一定的基础。教师应综合运用讲授、启发式、任务驱动、学生实训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7）高端检验实务（N4901041222）（102学时，其中实训72学时）</w:t>
      </w:r>
    </w:p>
    <w:p>
      <w:pPr>
        <w:spacing w:line="360" w:lineRule="exact"/>
        <w:ind w:firstLine="420" w:firstLineChars="200"/>
        <w:rPr>
          <w:rFonts w:ascii="宋体" w:hAnsi="宋体" w:eastAsia="宋体"/>
        </w:rPr>
      </w:pPr>
      <w:r>
        <w:rPr>
          <w:rFonts w:hint="eastAsia" w:ascii="宋体" w:hAnsi="宋体" w:eastAsia="宋体"/>
        </w:rPr>
        <w:t>本课程为核心专业技术课，以“必需、够用”为原则，重点学习仪器分析中应用较多的分光光度法、原子吸收光谱法、气相色谱法、液相色谱法、氨基酸分析仪、粉质仪等内容，同时学习样品前处理技术及数据处理知识。通过课程学习和实训，学生应掌握精密仪器的理论知识和实际操作技能，根据原始记录，认真、独立、规范地完成检验报告，并通过以上技能的学习，培养学生的工匠精神。教师应综合运用讲授、启发式、任务驱动、演示实验、学生实训、课后讲解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8）粮食饲料检验（4901041223）（102学时，其中实训72学时）</w:t>
      </w:r>
    </w:p>
    <w:p>
      <w:pPr>
        <w:spacing w:line="360" w:lineRule="exact"/>
        <w:ind w:firstLine="420" w:firstLineChars="200"/>
        <w:rPr>
          <w:rFonts w:ascii="宋体" w:hAnsi="宋体" w:eastAsia="宋体"/>
        </w:rPr>
      </w:pPr>
      <w:r>
        <w:rPr>
          <w:rFonts w:hint="eastAsia" w:ascii="宋体" w:hAnsi="宋体" w:eastAsia="宋体"/>
        </w:rPr>
        <w:t>本课程为专业技术课，以“培养熟练掌握粮食饲料检验技术”为目标，主要学习粮食</w:t>
      </w:r>
      <w:r>
        <w:rPr>
          <w:rFonts w:ascii="宋体" w:hAnsi="宋体" w:eastAsia="宋体"/>
        </w:rPr>
        <w:t>/饲料感官、理化、卫生等指标进行分析检测，学生应掌握各种原料与成品的国家等级标准和规定的检验方法，独立规范地完成主要品质项目的检验操作技术，并通过以上技能的学习，培养学生的工匠精神。通过本课程的学习，学生可逐步获得进行粮食饲料检验的工作能力，根据原始记录，认真、独立、规范地完成检验报告。教师应综合运用讲授、启发式、任务驱动、演示实验、学生实训、课后讲解等方式方法和现代多媒体等教学手段组织教学。</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ascii="Times New Roman" w:hAnsi="Times New Roman" w:eastAsia="仿宋_GB2312" w:cs="Times New Roman"/>
          <w:szCs w:val="21"/>
        </w:rPr>
        <w:t>9）综合检验实务（N4901041230）（128学时，其中实训86学时）</w:t>
      </w:r>
    </w:p>
    <w:p>
      <w:pPr>
        <w:spacing w:line="360" w:lineRule="exact"/>
        <w:ind w:firstLine="420" w:firstLineChars="200"/>
        <w:rPr>
          <w:rFonts w:ascii="宋体" w:hAnsi="宋体" w:eastAsia="宋体"/>
        </w:rPr>
      </w:pPr>
      <w:r>
        <w:rPr>
          <w:rFonts w:hint="eastAsia" w:ascii="宋体" w:hAnsi="宋体" w:eastAsia="宋体"/>
        </w:rPr>
        <w:t>本课程为食品检验检测技术专业（高端检验方向）的核心专业技术课，以真实的食品质量检验任务和国家标准规定的方法对某一具体产品指标进行分析检测，并将思想政治教育融入专业教学全过程，让学生独立规范完成完整的工作过程：“标准收集→方案制定→仪器设备的准备→样品提取及制备→试剂配制→样品预处理→检验测定→数据处理→鉴定结论→报告撰写”，在完成工作过程中，学生要具有高度的事业心和责任感，团结协作，严谨认真，执行标准，遵纪守法，不得利用职业活动谋求私利。通过训练提升学生的综合素质能力，以满足行业和企业的需求，为以后走上工作岗位打下坚实的基础。实际教学时，以学生为主，教师为辅，学生设计的方案由教师审定后再实施，实际操作过程中，任课教师从旁观察，及时纠正不规范操作。完成项目后，开展课堂讨论，学生以</w:t>
      </w:r>
      <w:r>
        <w:rPr>
          <w:rFonts w:ascii="宋体" w:hAnsi="宋体" w:eastAsia="宋体"/>
        </w:rPr>
        <w:t>PPT和检验报告的形式汇报实验成果。，并通过以上技能的学习，培养学生的工匠精神。</w:t>
      </w:r>
    </w:p>
    <w:p>
      <w:pPr>
        <w:spacing w:line="360" w:lineRule="exact"/>
        <w:ind w:firstLine="420" w:firstLineChars="200"/>
        <w:rPr>
          <w:rFonts w:ascii="宋体" w:hAnsi="宋体" w:eastAsia="宋体"/>
        </w:rPr>
      </w:pPr>
      <w:r>
        <w:rPr>
          <w:rFonts w:ascii="宋体" w:hAnsi="宋体" w:eastAsia="宋体"/>
        </w:rPr>
        <w:t>3.互选拓展课程</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烘焙食品加工（</w:t>
      </w:r>
      <w:r>
        <w:rPr>
          <w:rFonts w:ascii="Times New Roman" w:hAnsi="Times New Roman" w:eastAsia="仿宋_GB2312" w:cs="Times New Roman"/>
          <w:szCs w:val="21"/>
        </w:rPr>
        <w:t>4901041262）（96学时，其中实训60学时）</w:t>
      </w:r>
    </w:p>
    <w:p>
      <w:pPr>
        <w:spacing w:line="360" w:lineRule="exact"/>
        <w:ind w:firstLine="420" w:firstLineChars="200"/>
        <w:rPr>
          <w:rFonts w:ascii="宋体" w:hAnsi="宋体" w:eastAsia="宋体"/>
        </w:rPr>
      </w:pPr>
      <w:r>
        <w:rPr>
          <w:rFonts w:hint="eastAsia" w:ascii="宋体" w:hAnsi="宋体" w:eastAsia="宋体"/>
        </w:rPr>
        <w:t>本课程是食品检验检测技术专业学生高层互选拓展课，主要学习蛋糕制作及裱花技术，饼干、面包等其他烘焙食品的制作技术。通过课程学习，学生应掌握蛋糕花边、花卉等装饰的制作方法及整体构图，掌握其他烘焙食品的制作技术。本门课程学习以实践为主，理论为辅，教师要综合演示、实训、理论讲授等多种方式组织教学。</w:t>
      </w:r>
    </w:p>
    <w:p>
      <w:pPr>
        <w:spacing w:line="360" w:lineRule="exact"/>
        <w:ind w:firstLine="420" w:firstLineChars="200"/>
        <w:rPr>
          <w:rFonts w:ascii="宋体" w:hAnsi="宋体" w:eastAsia="宋体"/>
        </w:rPr>
      </w:pPr>
      <w:r>
        <w:rPr>
          <w:rFonts w:ascii="宋体" w:hAnsi="宋体" w:eastAsia="宋体"/>
        </w:rPr>
        <w:t>4.结合专业教学的特色创新创业课程（30~60学时）</w:t>
      </w:r>
    </w:p>
    <w:p>
      <w:pPr>
        <w:spacing w:line="36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门店开发与运营（</w:t>
      </w:r>
      <w:r>
        <w:rPr>
          <w:rFonts w:ascii="Times New Roman" w:hAnsi="Times New Roman" w:eastAsia="仿宋_GB2312" w:cs="Times New Roman"/>
          <w:szCs w:val="21"/>
        </w:rPr>
        <w:t>C4901041261）（64学时，其中实训30学时）</w:t>
      </w:r>
    </w:p>
    <w:p>
      <w:pPr>
        <w:spacing w:line="360" w:lineRule="exact"/>
        <w:ind w:firstLine="420" w:firstLineChars="200"/>
        <w:rPr>
          <w:rFonts w:ascii="宋体" w:hAnsi="宋体" w:eastAsia="宋体"/>
        </w:rPr>
      </w:pPr>
      <w:r>
        <w:rPr>
          <w:rFonts w:hint="eastAsia" w:ascii="宋体" w:hAnsi="宋体" w:eastAsia="宋体"/>
        </w:rPr>
        <w:t>本课程为创新创业教育课程群之专业重点建设课程，坚持工学结合、知行合一，注重专业教育与生产劳动、社会实践、创新创业教育相结合，强化教育教学实践性和职业性。本课程主要培养学生如何结合专业知识开一家与食品相关的店面，能够完成食品门店的创业策划书，具有一定的创业能力。课程主要内容有食品店面的选址；店面的规划与设计；店面的产品陈列与理货作业；店面的设备管理；人员管理；成本核算与控制、创业策划书的制作。培养与增强学生的创新精神、创业意识和创新创业能力，促进学生的学以致用、用以促学、学用相长等能力提升。教师应综合运用讲授、案例分析、任务驱动、情景模拟等方式方法组织教学。</w:t>
      </w:r>
    </w:p>
    <w:p>
      <w:pPr>
        <w:spacing w:line="360" w:lineRule="exact"/>
        <w:ind w:firstLine="420" w:firstLineChars="200"/>
        <w:rPr>
          <w:rFonts w:ascii="宋体" w:hAnsi="宋体" w:eastAsia="宋体"/>
        </w:rPr>
      </w:pPr>
      <w:r>
        <w:rPr>
          <w:rFonts w:ascii="宋体" w:hAnsi="宋体" w:eastAsia="宋体"/>
        </w:rPr>
        <w:t>5.顶岗实习(4901041263) (260学时)</w:t>
      </w:r>
    </w:p>
    <w:p>
      <w:pPr>
        <w:spacing w:line="360" w:lineRule="exact"/>
        <w:ind w:firstLine="420" w:firstLineChars="200"/>
        <w:rPr>
          <w:rFonts w:ascii="宋体" w:hAnsi="宋体" w:eastAsia="宋体"/>
        </w:rPr>
      </w:pPr>
      <w:r>
        <w:rPr>
          <w:rFonts w:hint="eastAsia" w:ascii="宋体" w:hAnsi="宋体" w:eastAsia="宋体"/>
        </w:rPr>
        <w:t>通过实际顶岗操作，学生应熟练掌握粮食食品类企业检化验员、品控员、加工技术员、销销业务员等岗位中的一个方面岗位的操作，获得实际工作的体验，达到完全胜任各岗位的职业综合能力要求，并获得品控主管</w:t>
      </w:r>
      <w:r>
        <w:rPr>
          <w:rFonts w:ascii="宋体" w:hAnsi="宋体" w:eastAsia="宋体"/>
        </w:rPr>
        <w:t>/车间主任的基本训练，为毕业后从事一线管理工作打下基础。</w:t>
      </w:r>
    </w:p>
    <w:p>
      <w:pPr>
        <w:spacing w:line="360" w:lineRule="exact"/>
        <w:ind w:firstLine="420" w:firstLineChars="200"/>
        <w:rPr>
          <w:rFonts w:ascii="宋体" w:hAnsi="宋体" w:eastAsia="宋体"/>
        </w:rPr>
      </w:pPr>
      <w:r>
        <w:rPr>
          <w:rFonts w:ascii="宋体" w:hAnsi="宋体" w:eastAsia="宋体"/>
        </w:rPr>
        <w:t>6.毕业论文（毕业设计）（4901041264）（100学时）</w:t>
      </w:r>
    </w:p>
    <w:p>
      <w:pPr>
        <w:spacing w:line="360" w:lineRule="exact"/>
        <w:ind w:firstLine="420" w:firstLineChars="200"/>
        <w:rPr>
          <w:rFonts w:ascii="宋体" w:hAnsi="宋体" w:eastAsia="宋体"/>
        </w:rPr>
      </w:pPr>
      <w:r>
        <w:rPr>
          <w:rFonts w:hint="eastAsia" w:ascii="宋体" w:hAnsi="宋体" w:eastAsia="宋体"/>
        </w:rPr>
        <w:t>毕业论文（毕业设计）是对理论学习与顶岗实习的一次全面测试，要求学生在顶岗实习时，根据公司要求，制定合理计划，对分析方法的分类有一定的了解，并且掌握分析方法的选择原则（准确、稳定、简便、快速、经济），查阅资料、文献，并科学地完成任务。结合实际工作岗位完成毕业设计，并顺利通过毕业答辩。</w:t>
      </w: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104</w:t>
            </w: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r>
              <w:rPr>
                <w:rFonts w:hint="eastAsia" w:ascii="宋体" w:hAnsi="宋体" w:eastAsia="宋体"/>
                <w:kern w:val="2"/>
                <w:sz w:val="18"/>
                <w:szCs w:val="18"/>
              </w:rPr>
              <w:t>8</w:t>
            </w: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3"/>
        <w:tblpPr w:leftFromText="180" w:rightFromText="180" w:vertAnchor="text" w:horzAnchor="page" w:tblpX="1819"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347"/>
        <w:gridCol w:w="1559"/>
        <w:gridCol w:w="992"/>
        <w:gridCol w:w="142"/>
        <w:gridCol w:w="343"/>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p>
        </w:tc>
        <w:tc>
          <w:tcPr>
            <w:tcW w:w="34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559"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99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485" w:type="dxa"/>
            <w:gridSpan w:val="2"/>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gridSpan w:val="2"/>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gridSpan w:val="2"/>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gridSpan w:val="2"/>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sz w:val="18"/>
                <w:szCs w:val="18"/>
              </w:rPr>
            </w:pPr>
            <w:r>
              <w:rPr>
                <w:rFonts w:hint="eastAsia" w:ascii="宋体" w:hAnsi="宋体" w:eastAsia="宋体"/>
                <w:sz w:val="18"/>
                <w:szCs w:val="18"/>
              </w:rPr>
              <w:t>素养课程</w:t>
            </w: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490104</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485" w:type="dxa"/>
            <w:gridSpan w:val="2"/>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4901041140</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490104</w:t>
            </w:r>
            <w:r>
              <w:rPr>
                <w:rFonts w:hint="eastAsia" w:ascii="宋体" w:hAnsi="宋体" w:eastAsia="宋体"/>
                <w:kern w:val="0"/>
              </w:rPr>
              <w:t>114</w:t>
            </w:r>
            <w:r>
              <w:rPr>
                <w:rFonts w:ascii="宋体" w:hAnsi="宋体" w:eastAsia="宋体"/>
                <w:kern w:val="0"/>
              </w:rPr>
              <w:t>1</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ascii="宋体" w:hAnsi="宋体" w:eastAsia="宋体"/>
                <w:kern w:val="0"/>
              </w:rPr>
              <w:t>490104</w:t>
            </w:r>
            <w:r>
              <w:rPr>
                <w:rFonts w:hint="eastAsia" w:ascii="宋体" w:hAnsi="宋体" w:eastAsia="宋体"/>
                <w:kern w:val="0"/>
              </w:rPr>
              <w:t>114</w:t>
            </w:r>
            <w:r>
              <w:rPr>
                <w:rFonts w:ascii="宋体" w:hAnsi="宋体" w:eastAsia="宋体"/>
                <w:kern w:val="0"/>
              </w:rPr>
              <w:t>2</w:t>
            </w:r>
          </w:p>
        </w:tc>
        <w:tc>
          <w:tcPr>
            <w:tcW w:w="485" w:type="dxa"/>
            <w:gridSpan w:val="2"/>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ascii="宋体" w:hAnsi="宋体" w:eastAsia="宋体"/>
                <w:kern w:val="0"/>
              </w:rPr>
              <w:t>490104</w:t>
            </w:r>
            <w:r>
              <w:rPr>
                <w:rFonts w:hint="eastAsia" w:ascii="宋体" w:hAnsi="宋体" w:eastAsia="宋体"/>
                <w:kern w:val="0"/>
              </w:rPr>
              <w:t>114</w:t>
            </w:r>
            <w:r>
              <w:rPr>
                <w:rFonts w:ascii="宋体" w:hAnsi="宋体" w:eastAsia="宋体"/>
                <w:kern w:val="0"/>
              </w:rPr>
              <w:t>3</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1150</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1111</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1112</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1113</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ascii="宋体" w:hAnsi="宋体" w:eastAsia="宋体"/>
                <w:kern w:val="0"/>
                <w:sz w:val="18"/>
                <w:szCs w:val="18"/>
              </w:rPr>
              <w:t>490104</w:t>
            </w:r>
            <w:r>
              <w:rPr>
                <w:rFonts w:hint="eastAsia" w:ascii="宋体" w:hAnsi="宋体" w:eastAsia="宋体"/>
                <w:kern w:val="0"/>
                <w:sz w:val="18"/>
                <w:szCs w:val="18"/>
              </w:rPr>
              <w:t>1151</w:t>
            </w:r>
          </w:p>
        </w:tc>
        <w:tc>
          <w:tcPr>
            <w:tcW w:w="485" w:type="dxa"/>
            <w:gridSpan w:val="2"/>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1114</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w:t>
            </w:r>
            <w:r>
              <w:rPr>
                <w:rFonts w:hint="eastAsia" w:ascii="宋体" w:hAnsi="宋体" w:eastAsia="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114</w:t>
            </w:r>
            <w:r>
              <w:rPr>
                <w:rFonts w:ascii="宋体" w:hAnsi="宋体" w:eastAsia="宋体"/>
                <w:kern w:val="0"/>
                <w:sz w:val="18"/>
                <w:szCs w:val="18"/>
              </w:rPr>
              <w:t>4</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1152</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114</w:t>
            </w:r>
            <w:r>
              <w:rPr>
                <w:rFonts w:ascii="宋体" w:hAnsi="宋体" w:eastAsia="宋体"/>
                <w:kern w:val="0"/>
                <w:sz w:val="18"/>
                <w:szCs w:val="18"/>
              </w:rPr>
              <w:t>5</w:t>
            </w:r>
          </w:p>
        </w:tc>
        <w:tc>
          <w:tcPr>
            <w:tcW w:w="485" w:type="dxa"/>
            <w:gridSpan w:val="2"/>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114</w:t>
            </w:r>
            <w:r>
              <w:rPr>
                <w:rFonts w:ascii="宋体" w:hAnsi="宋体" w:eastAsia="宋体"/>
                <w:kern w:val="0"/>
                <w:sz w:val="18"/>
                <w:szCs w:val="18"/>
              </w:rPr>
              <w:t>6</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ascii="宋体" w:hAnsi="宋体" w:eastAsia="宋体"/>
                <w:kern w:val="0"/>
                <w:sz w:val="18"/>
                <w:szCs w:val="18"/>
              </w:rPr>
              <w:t>490104</w:t>
            </w:r>
            <w:r>
              <w:rPr>
                <w:rFonts w:hint="eastAsia" w:ascii="宋体" w:hAnsi="宋体" w:eastAsia="宋体"/>
                <w:kern w:val="0"/>
                <w:sz w:val="18"/>
                <w:szCs w:val="18"/>
              </w:rPr>
              <w:t>114</w:t>
            </w:r>
            <w:r>
              <w:rPr>
                <w:rFonts w:ascii="宋体" w:hAnsi="宋体" w:eastAsia="宋体"/>
                <w:kern w:val="0"/>
                <w:sz w:val="18"/>
                <w:szCs w:val="18"/>
              </w:rPr>
              <w:t>7</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ascii="宋体" w:hAnsi="宋体" w:eastAsia="宋体"/>
                <w:kern w:val="0"/>
                <w:sz w:val="18"/>
                <w:szCs w:val="18"/>
              </w:rPr>
              <w:t>490104</w:t>
            </w:r>
            <w:r>
              <w:rPr>
                <w:rFonts w:hint="eastAsia" w:ascii="宋体" w:hAnsi="宋体" w:eastAsia="宋体"/>
                <w:kern w:val="0"/>
                <w:sz w:val="18"/>
                <w:szCs w:val="18"/>
              </w:rPr>
              <w:t>114</w:t>
            </w:r>
            <w:r>
              <w:rPr>
                <w:rFonts w:ascii="宋体" w:hAnsi="宋体" w:eastAsia="宋体"/>
                <w:kern w:val="0"/>
                <w:sz w:val="18"/>
                <w:szCs w:val="18"/>
              </w:rPr>
              <w:t>8</w:t>
            </w:r>
          </w:p>
        </w:tc>
        <w:tc>
          <w:tcPr>
            <w:tcW w:w="485" w:type="dxa"/>
            <w:gridSpan w:val="2"/>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1160</w:t>
            </w:r>
          </w:p>
        </w:tc>
        <w:tc>
          <w:tcPr>
            <w:tcW w:w="485" w:type="dxa"/>
            <w:gridSpan w:val="2"/>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劳动教育</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1161</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gridSpan w:val="2"/>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4"/>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ascii="宋体" w:hAnsi="宋体" w:eastAsia="宋体"/>
                <w:kern w:val="0"/>
                <w:sz w:val="18"/>
                <w:szCs w:val="18"/>
              </w:rPr>
              <w:t>490104</w:t>
            </w:r>
            <w:r>
              <w:rPr>
                <w:rFonts w:hint="eastAsia" w:ascii="宋体" w:hAnsi="宋体" w:eastAsia="宋体"/>
                <w:kern w:val="0"/>
                <w:sz w:val="18"/>
                <w:szCs w:val="18"/>
              </w:rPr>
              <w:t>1162</w:t>
            </w:r>
          </w:p>
        </w:tc>
        <w:tc>
          <w:tcPr>
            <w:tcW w:w="485" w:type="dxa"/>
            <w:gridSpan w:val="2"/>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34" w:type="dxa"/>
            <w:vMerge w:val="continue"/>
            <w:vAlign w:val="center"/>
          </w:tcPr>
          <w:p>
            <w:pPr>
              <w:spacing w:line="280" w:lineRule="exact"/>
              <w:jc w:val="center"/>
              <w:rPr>
                <w:rFonts w:ascii="宋体" w:hAnsi="宋体" w:eastAsia="宋体"/>
                <w:sz w:val="18"/>
                <w:szCs w:val="18"/>
              </w:rPr>
            </w:pPr>
          </w:p>
        </w:tc>
        <w:tc>
          <w:tcPr>
            <w:tcW w:w="2333" w:type="dxa"/>
            <w:gridSpan w:val="4"/>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gridSpan w:val="2"/>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hint="eastAsia" w:ascii="宋体" w:hAnsi="宋体" w:eastAsia="宋体"/>
                <w:sz w:val="18"/>
                <w:szCs w:val="18"/>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top w:val="single" w:color="auto" w:sz="4" w:space="0"/>
              <w:left w:val="single" w:color="auto" w:sz="4" w:space="0"/>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8648" w:type="dxa"/>
            <w:gridSpan w:val="18"/>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群内专业填写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必修课</w:t>
            </w: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平台共享课</w:t>
            </w: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21</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粮食食品企业入职培训</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4901041240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15*2</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22</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粮食食品检验基础</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4901041210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85</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17*5</w:t>
            </w:r>
            <w:r>
              <w:rPr>
                <w:rFonts w:hint="eastAsia"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23</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粮食食品安全与质量管理</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4901041250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17*4</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24</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粮食食品企业班组管理</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4901041260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24</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16*4</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特色分立课</w:t>
            </w: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25</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营养推广</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4901041211</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15*4</w:t>
            </w:r>
            <w:r>
              <w:rPr>
                <w:rFonts w:hint="eastAsia"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26</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粮食食品原料特性</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4901041241</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17*4</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27</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食品理化检验</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N4901041220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68</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17*6</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28</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食品微生物检验</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N4901041221</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17*6</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29</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营养配餐</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4901041251</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28</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17*4</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粮食食品加工</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4901041252</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68</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36</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17*4</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31</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高端检验实务</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N4901041222</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6.5</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17*6</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粮食饲料检验</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4901041223</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6.5</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102</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17*6</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33</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门店开发与运营</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C4901041261</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64</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34</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16*4</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34</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综合检验实务（检测方向）</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N4901041230</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128</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42</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86</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16*8</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互选拓展课</w:t>
            </w: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35</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烘焙食品加工</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4901041262</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96</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36</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16*6</w:t>
            </w:r>
          </w:p>
        </w:tc>
        <w:tc>
          <w:tcPr>
            <w:tcW w:w="33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36</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顶岗实习</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4901041263</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16.5</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260</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vMerge w:val="restart"/>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18W</w:t>
            </w:r>
          </w:p>
        </w:tc>
        <w:tc>
          <w:tcPr>
            <w:tcW w:w="438" w:type="dxa"/>
            <w:shd w:val="clear" w:color="auto" w:fill="auto"/>
            <w:tcMar>
              <w:top w:w="15" w:type="dxa"/>
              <w:left w:w="15" w:type="dxa"/>
              <w:bottom w:w="0" w:type="dxa"/>
              <w:right w:w="15" w:type="dxa"/>
            </w:tcMar>
            <w:vAlign w:val="center"/>
          </w:tcPr>
          <w:p>
            <w:pPr>
              <w:spacing w:line="3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shd w:val="clear" w:color="auto" w:fill="auto"/>
            <w:vAlign w:val="center"/>
          </w:tcPr>
          <w:p>
            <w:pPr>
              <w:spacing w:line="280" w:lineRule="exact"/>
              <w:jc w:val="center"/>
              <w:rPr>
                <w:rFonts w:ascii="宋体" w:hAnsi="宋体" w:eastAsia="宋体"/>
                <w:kern w:val="0"/>
                <w:sz w:val="18"/>
                <w:szCs w:val="18"/>
              </w:rPr>
            </w:pPr>
          </w:p>
        </w:tc>
        <w:tc>
          <w:tcPr>
            <w:tcW w:w="347"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37</w:t>
            </w:r>
          </w:p>
        </w:tc>
        <w:tc>
          <w:tcPr>
            <w:tcW w:w="1559"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毕业论文（毕业设计）</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4901041264</w:t>
            </w:r>
          </w:p>
        </w:tc>
        <w:tc>
          <w:tcPr>
            <w:tcW w:w="343" w:type="dxa"/>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c>
          <w:tcPr>
            <w:tcW w:w="56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41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70</w:t>
            </w:r>
          </w:p>
        </w:tc>
        <w:tc>
          <w:tcPr>
            <w:tcW w:w="495"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500"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58"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32"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477" w:type="dxa"/>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　</w:t>
            </w:r>
          </w:p>
        </w:tc>
        <w:tc>
          <w:tcPr>
            <w:tcW w:w="330" w:type="dxa"/>
            <w:vMerge w:val="continue"/>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shd w:val="clear" w:color="auto" w:fill="auto"/>
            <w:tcMar>
              <w:top w:w="15" w:type="dxa"/>
              <w:left w:w="15" w:type="dxa"/>
              <w:bottom w:w="0" w:type="dxa"/>
              <w:right w:w="15" w:type="dxa"/>
            </w:tcMar>
            <w:vAlign w:val="center"/>
          </w:tcPr>
          <w:p>
            <w:pPr>
              <w:spacing w:line="3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12" w:type="dxa"/>
            <w:gridSpan w:val="3"/>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p>
        </w:tc>
        <w:tc>
          <w:tcPr>
            <w:tcW w:w="1134" w:type="dxa"/>
            <w:gridSpan w:val="2"/>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43"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cs="Times New Roman"/>
                <w:color w:val="000000"/>
                <w:sz w:val="18"/>
                <w:szCs w:val="18"/>
              </w:rPr>
              <w:t>96</w:t>
            </w:r>
            <w:r>
              <w:rPr>
                <w:rFonts w:ascii="Times New Roman" w:hAnsi="Times New Roman" w:cs="Times New Roman"/>
                <w:color w:val="000000"/>
                <w:sz w:val="18"/>
                <w:szCs w:val="18"/>
              </w:rPr>
              <w:t>.5</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1567</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607</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960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color w:val="000000"/>
                <w:sz w:val="18"/>
                <w:szCs w:val="18"/>
              </w:rPr>
              <w:t>6</w:t>
            </w: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color w:val="000000"/>
                <w:sz w:val="18"/>
                <w:szCs w:val="18"/>
              </w:rPr>
              <w:t>9</w:t>
            </w:r>
          </w:p>
        </w:tc>
        <w:tc>
          <w:tcPr>
            <w:tcW w:w="45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color w:val="000000"/>
                <w:sz w:val="18"/>
                <w:szCs w:val="18"/>
              </w:rPr>
              <w:t>20</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color w:val="000000"/>
                <w:sz w:val="18"/>
                <w:szCs w:val="18"/>
              </w:rPr>
              <w:t>16</w:t>
            </w: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color w:val="000000"/>
                <w:sz w:val="18"/>
                <w:szCs w:val="18"/>
              </w:rPr>
              <w:t>22</w:t>
            </w: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cs="Times New Roman"/>
                <w:color w:val="000000"/>
                <w:sz w:val="18"/>
                <w:szCs w:val="18"/>
              </w:rPr>
              <w:t>　</w:t>
            </w: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选修课</w:t>
            </w:r>
          </w:p>
        </w:tc>
        <w:tc>
          <w:tcPr>
            <w:tcW w:w="406" w:type="dxa"/>
            <w:vMerge w:val="restart"/>
            <w:shd w:val="clear" w:color="auto" w:fill="auto"/>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公共选修课</w:t>
            </w: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38</w:t>
            </w:r>
          </w:p>
        </w:tc>
        <w:tc>
          <w:tcPr>
            <w:tcW w:w="1559"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人文素养类课程</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9999991650</w:t>
            </w:r>
          </w:p>
        </w:tc>
        <w:tc>
          <w:tcPr>
            <w:tcW w:w="343"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58" w:type="dxa"/>
            <w:vMerge w:val="restart"/>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15*2</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vMerge w:val="restart"/>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39</w:t>
            </w:r>
          </w:p>
        </w:tc>
        <w:tc>
          <w:tcPr>
            <w:tcW w:w="1559"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创新创业管理类课程</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9999991651</w:t>
            </w:r>
          </w:p>
        </w:tc>
        <w:tc>
          <w:tcPr>
            <w:tcW w:w="343"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vMerge w:val="continue"/>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1559"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科学素养类课程</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9999991652</w:t>
            </w:r>
          </w:p>
        </w:tc>
        <w:tc>
          <w:tcPr>
            <w:tcW w:w="343"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58" w:type="dxa"/>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06" w:type="dxa"/>
            <w:vMerge w:val="continue"/>
            <w:tcBorders>
              <w:bottom w:val="single" w:color="auto" w:sz="4" w:space="0"/>
            </w:tcBorders>
            <w:shd w:val="clear" w:color="auto" w:fill="auto"/>
            <w:vAlign w:val="center"/>
          </w:tcPr>
          <w:p>
            <w:pPr>
              <w:spacing w:line="280" w:lineRule="exact"/>
              <w:jc w:val="center"/>
              <w:rPr>
                <w:rFonts w:ascii="宋体" w:hAnsi="宋体" w:eastAsia="宋体"/>
                <w:kern w:val="0"/>
                <w:sz w:val="18"/>
                <w:szCs w:val="18"/>
              </w:rPr>
            </w:pPr>
          </w:p>
        </w:tc>
        <w:tc>
          <w:tcPr>
            <w:tcW w:w="347" w:type="dxa"/>
            <w:tcBorders>
              <w:bottom w:val="single" w:color="auto" w:sz="4" w:space="0"/>
            </w:tcBorders>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41</w:t>
            </w:r>
          </w:p>
        </w:tc>
        <w:tc>
          <w:tcPr>
            <w:tcW w:w="1559"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美育类课程</w:t>
            </w:r>
          </w:p>
        </w:tc>
        <w:tc>
          <w:tcPr>
            <w:tcW w:w="1134" w:type="dxa"/>
            <w:gridSpan w:val="2"/>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9999991660</w:t>
            </w:r>
          </w:p>
        </w:tc>
        <w:tc>
          <w:tcPr>
            <w:tcW w:w="343" w:type="dxa"/>
            <w:tcBorders>
              <w:bottom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56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72</w:t>
            </w:r>
          </w:p>
        </w:tc>
        <w:tc>
          <w:tcPr>
            <w:tcW w:w="41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32</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40</w:t>
            </w:r>
          </w:p>
        </w:tc>
        <w:tc>
          <w:tcPr>
            <w:tcW w:w="495"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*2</w:t>
            </w:r>
          </w:p>
        </w:tc>
        <w:tc>
          <w:tcPr>
            <w:tcW w:w="50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4</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1</w:t>
            </w:r>
          </w:p>
        </w:tc>
        <w:tc>
          <w:tcPr>
            <w:tcW w:w="45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6</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1</w:t>
            </w:r>
          </w:p>
        </w:tc>
        <w:tc>
          <w:tcPr>
            <w:tcW w:w="43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15*2</w:t>
            </w:r>
          </w:p>
        </w:tc>
        <w:tc>
          <w:tcPr>
            <w:tcW w:w="477"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1</w:t>
            </w:r>
          </w:p>
        </w:tc>
        <w:tc>
          <w:tcPr>
            <w:tcW w:w="330"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23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小计</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102</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总计</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3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kern w:val="0"/>
                <w:sz w:val="18"/>
                <w:szCs w:val="18"/>
              </w:rPr>
            </w:pPr>
            <w:r>
              <w:rPr>
                <w:rFonts w:hint="eastAsia"/>
                <w:color w:val="000000"/>
                <w:sz w:val="18"/>
                <w:szCs w:val="18"/>
              </w:rPr>
              <w:t>163</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2525</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1213</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1312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24</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26</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26</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21</w:t>
            </w:r>
          </w:p>
        </w:tc>
        <w:tc>
          <w:tcPr>
            <w:tcW w:w="4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color w:val="000000"/>
                <w:sz w:val="18"/>
                <w:szCs w:val="18"/>
              </w:rPr>
              <w:t>22</w:t>
            </w:r>
          </w:p>
        </w:tc>
        <w:tc>
          <w:tcPr>
            <w:tcW w:w="3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r>
    </w:tbl>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723"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1723"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1</w:t>
            </w:r>
          </w:p>
        </w:tc>
        <w:tc>
          <w:tcPr>
            <w:tcW w:w="1723" w:type="dxa"/>
            <w:vAlign w:val="center"/>
          </w:tcPr>
          <w:p>
            <w:pPr>
              <w:widowControl/>
              <w:spacing w:line="280" w:lineRule="exact"/>
              <w:jc w:val="center"/>
              <w:rPr>
                <w:rFonts w:ascii="宋体" w:hAnsi="宋体" w:eastAsia="宋体"/>
                <w:kern w:val="0"/>
                <w:sz w:val="18"/>
                <w:szCs w:val="18"/>
              </w:rPr>
            </w:pPr>
            <w:r>
              <w:rPr>
                <w:rFonts w:ascii="宋体" w:hAnsi="宋体" w:eastAsia="宋体"/>
                <w:kern w:val="0"/>
                <w:sz w:val="18"/>
                <w:szCs w:val="18"/>
              </w:rPr>
              <w:t>顶岗实习</w:t>
            </w: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ascii="宋体" w:hAnsi="宋体" w:eastAsia="宋体"/>
                <w:kern w:val="0"/>
                <w:sz w:val="18"/>
                <w:szCs w:val="18"/>
              </w:rPr>
              <w:t>260</w:t>
            </w:r>
          </w:p>
        </w:tc>
        <w:tc>
          <w:tcPr>
            <w:tcW w:w="803"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17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62"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8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25"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ascii="宋体" w:hAnsi="宋体" w:eastAsia="宋体"/>
                <w:kern w:val="0"/>
                <w:sz w:val="18"/>
                <w:szCs w:val="18"/>
              </w:rPr>
              <w:t>13W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2</w:t>
            </w:r>
          </w:p>
        </w:tc>
        <w:tc>
          <w:tcPr>
            <w:tcW w:w="1723" w:type="dxa"/>
            <w:vAlign w:val="center"/>
          </w:tcPr>
          <w:p>
            <w:pPr>
              <w:widowControl/>
              <w:spacing w:line="280" w:lineRule="exact"/>
              <w:jc w:val="center"/>
              <w:rPr>
                <w:rFonts w:ascii="宋体" w:hAnsi="宋体" w:eastAsia="宋体"/>
                <w:kern w:val="0"/>
                <w:sz w:val="18"/>
                <w:szCs w:val="18"/>
              </w:rPr>
            </w:pPr>
            <w:r>
              <w:rPr>
                <w:rFonts w:ascii="宋体" w:hAnsi="宋体" w:eastAsia="宋体"/>
                <w:kern w:val="0"/>
                <w:sz w:val="18"/>
                <w:szCs w:val="18"/>
              </w:rPr>
              <w:t>毕业论文</w:t>
            </w:r>
          </w:p>
          <w:p>
            <w:pPr>
              <w:widowControl/>
              <w:spacing w:line="280" w:lineRule="exact"/>
              <w:jc w:val="center"/>
              <w:rPr>
                <w:rFonts w:ascii="宋体" w:hAnsi="宋体" w:eastAsia="宋体"/>
                <w:kern w:val="0"/>
                <w:sz w:val="18"/>
                <w:szCs w:val="18"/>
              </w:rPr>
            </w:pPr>
            <w:r>
              <w:rPr>
                <w:rFonts w:ascii="宋体" w:hAnsi="宋体" w:eastAsia="宋体"/>
                <w:kern w:val="0"/>
                <w:sz w:val="18"/>
                <w:szCs w:val="18"/>
              </w:rPr>
              <w:t>（毕业设计）</w:t>
            </w: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ascii="宋体" w:hAnsi="宋体" w:eastAsia="宋体"/>
                <w:kern w:val="0"/>
                <w:sz w:val="18"/>
                <w:szCs w:val="18"/>
              </w:rPr>
              <w:t>1</w:t>
            </w:r>
            <w:r>
              <w:rPr>
                <w:rFonts w:hint="eastAsia" w:ascii="宋体" w:hAnsi="宋体" w:eastAsia="宋体"/>
                <w:kern w:val="0"/>
                <w:sz w:val="18"/>
                <w:szCs w:val="18"/>
              </w:rPr>
              <w:t>0</w:t>
            </w:r>
            <w:r>
              <w:rPr>
                <w:rFonts w:ascii="宋体" w:hAnsi="宋体" w:eastAsia="宋体"/>
                <w:kern w:val="0"/>
                <w:sz w:val="18"/>
                <w:szCs w:val="18"/>
              </w:rPr>
              <w:t>0</w:t>
            </w:r>
          </w:p>
        </w:tc>
        <w:tc>
          <w:tcPr>
            <w:tcW w:w="803"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17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62"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8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25"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hint="eastAsia" w:ascii="宋体" w:hAnsi="宋体" w:eastAsia="宋体"/>
                <w:kern w:val="0"/>
                <w:sz w:val="18"/>
                <w:szCs w:val="18"/>
              </w:rPr>
              <w:t>5</w:t>
            </w:r>
            <w:r>
              <w:rPr>
                <w:rFonts w:ascii="宋体" w:hAnsi="宋体" w:eastAsia="宋体"/>
                <w:kern w:val="0"/>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合计</w:t>
            </w: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ascii="宋体" w:hAnsi="宋体" w:eastAsia="宋体"/>
                <w:kern w:val="0"/>
                <w:sz w:val="18"/>
                <w:szCs w:val="18"/>
              </w:rPr>
              <w:t>3</w:t>
            </w:r>
            <w:r>
              <w:rPr>
                <w:rFonts w:hint="eastAsia" w:ascii="宋体" w:hAnsi="宋体" w:eastAsia="宋体"/>
                <w:kern w:val="0"/>
                <w:sz w:val="18"/>
                <w:szCs w:val="18"/>
              </w:rPr>
              <w:t>6</w:t>
            </w:r>
            <w:r>
              <w:rPr>
                <w:rFonts w:ascii="宋体" w:hAnsi="宋体" w:eastAsia="宋体"/>
                <w:kern w:val="0"/>
                <w:sz w:val="18"/>
                <w:szCs w:val="18"/>
              </w:rPr>
              <w:t>0</w:t>
            </w:r>
          </w:p>
        </w:tc>
        <w:tc>
          <w:tcPr>
            <w:tcW w:w="803"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17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62"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90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80" w:type="dxa"/>
            <w:vAlign w:val="center"/>
          </w:tcPr>
          <w:p>
            <w:pPr>
              <w:pStyle w:val="7"/>
              <w:tabs>
                <w:tab w:val="clear" w:pos="945"/>
              </w:tabs>
              <w:spacing w:line="280" w:lineRule="exact"/>
              <w:ind w:firstLine="0" w:firstLineChars="0"/>
              <w:jc w:val="center"/>
              <w:rPr>
                <w:rFonts w:ascii="宋体" w:hAnsi="宋体" w:eastAsia="宋体"/>
                <w:kern w:val="0"/>
                <w:sz w:val="18"/>
                <w:szCs w:val="18"/>
              </w:rPr>
            </w:pPr>
          </w:p>
        </w:tc>
        <w:tc>
          <w:tcPr>
            <w:tcW w:w="1025" w:type="dxa"/>
            <w:vAlign w:val="center"/>
          </w:tcPr>
          <w:p>
            <w:pPr>
              <w:pStyle w:val="7"/>
              <w:tabs>
                <w:tab w:val="clear" w:pos="945"/>
              </w:tabs>
              <w:spacing w:line="280" w:lineRule="exact"/>
              <w:ind w:firstLine="0" w:firstLineChars="0"/>
              <w:jc w:val="center"/>
              <w:rPr>
                <w:rFonts w:ascii="宋体" w:hAnsi="宋体" w:eastAsia="宋体"/>
                <w:kern w:val="0"/>
                <w:sz w:val="18"/>
                <w:szCs w:val="18"/>
              </w:rPr>
            </w:pPr>
            <w:r>
              <w:rPr>
                <w:rFonts w:ascii="宋体" w:hAnsi="宋体" w:eastAsia="宋体"/>
                <w:kern w:val="0"/>
                <w:sz w:val="18"/>
                <w:szCs w:val="18"/>
              </w:rPr>
              <w:t>1</w:t>
            </w:r>
            <w:r>
              <w:rPr>
                <w:rFonts w:hint="eastAsia" w:ascii="宋体" w:hAnsi="宋体" w:eastAsia="宋体"/>
                <w:kern w:val="0"/>
                <w:sz w:val="18"/>
                <w:szCs w:val="18"/>
              </w:rPr>
              <w:t>8</w:t>
            </w:r>
            <w:r>
              <w:rPr>
                <w:rFonts w:ascii="宋体" w:hAnsi="宋体" w:eastAsia="宋体"/>
                <w:kern w:val="0"/>
                <w:sz w:val="18"/>
                <w:szCs w:val="18"/>
              </w:rPr>
              <w:t>W</w:t>
            </w: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bookmarkStart w:id="6" w:name="_Toc327706746"/>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544</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312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856</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平台共享课程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133</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114</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247</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特色分立课程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348</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516</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864</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互选拓展课程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36</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60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96</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62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40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102</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顶岗实习与毕业论文</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90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270</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360</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1213</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1312</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2525</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48.04%</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51.96%</w:t>
            </w:r>
          </w:p>
        </w:tc>
        <w:tc>
          <w:tcPr>
            <w:tcW w:w="1780"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100.00%</w:t>
            </w:r>
          </w:p>
        </w:tc>
        <w:tc>
          <w:tcPr>
            <w:tcW w:w="1778" w:type="dxa"/>
            <w:vAlign w:val="center"/>
          </w:tcPr>
          <w:p>
            <w:pPr>
              <w:pStyle w:val="7"/>
              <w:tabs>
                <w:tab w:val="clear" w:pos="945"/>
              </w:tabs>
              <w:ind w:firstLine="0" w:firstLineChars="0"/>
              <w:jc w:val="center"/>
              <w:rPr>
                <w:rFonts w:ascii="宋体" w:hAnsi="宋体" w:eastAsia="宋体"/>
                <w:sz w:val="18"/>
                <w:szCs w:val="18"/>
              </w:rPr>
            </w:pPr>
            <w:r>
              <w:rPr>
                <w:rFonts w:hint="eastAsia"/>
                <w:color w:val="000000"/>
                <w:sz w:val="18"/>
                <w:szCs w:val="18"/>
              </w:rPr>
              <w:t>　</w:t>
            </w:r>
          </w:p>
        </w:tc>
      </w:tr>
    </w:tbl>
    <w:p>
      <w:pPr>
        <w:spacing w:line="400" w:lineRule="exact"/>
        <w:ind w:firstLine="315" w:firstLineChars="150"/>
        <w:rPr>
          <w:rFonts w:ascii="宋体" w:hAnsi="宋体" w:eastAsia="宋体"/>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6"/>
    </w:p>
    <w:p>
      <w:pPr>
        <w:snapToGrid w:val="0"/>
        <w:spacing w:line="380" w:lineRule="exact"/>
        <w:ind w:firstLine="420" w:firstLineChars="200"/>
        <w:outlineLvl w:val="0"/>
        <w:rPr>
          <w:rFonts w:ascii="宋体" w:hAnsi="宋体" w:eastAsia="宋体"/>
          <w:szCs w:val="21"/>
        </w:rPr>
      </w:pPr>
      <w:bookmarkStart w:id="7" w:name="_Toc327706750"/>
      <w:r>
        <w:rPr>
          <w:rFonts w:hint="eastAsia" w:ascii="宋体" w:hAnsi="宋体" w:eastAsia="宋体"/>
          <w:szCs w:val="21"/>
        </w:rPr>
        <w:t>（一）师资条件</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根据食品检验检测技术专业人才培养目标和学生规模，进行相应的师资配备。教师在人才培养过程中，既是教师又是师傅；既要具备相应的专业知识，又要具备相应的专业技能；既要有新的高职教育理念，又要有课程开发能力和课程教学实施能力。因此，在师资结构上按照专业带头人、骨干教师、双师型教师和兼职教师进行配备，并达到不同的能力要求。其中专业带头人</w:t>
      </w:r>
      <w:r>
        <w:rPr>
          <w:rFonts w:ascii="宋体" w:hAnsi="宋体" w:eastAsia="宋体"/>
          <w:szCs w:val="21"/>
        </w:rPr>
        <w:t>1人，高级职称占35%以上，骨干教师比例达到50%以上，双师型教师比例应达到90%以上，兼职教师比例达到30%以上。为保证人才培养质量，按照学生规模，师生比达到1:17。</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1.专业带头人</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专业带头人需具有先进的教学理念、较强的教学设计、丰富的教学经验，专业知识全面，实践经验丰富，有较强的管理能力，对职业教育有深入研究，能够把握行业是新技术和动态，在专业建设和人才培养模式改革方面能起到带头作用。其主要工作有：组织行业、企业调研，进行人才需求分析，确定人才培养目标，组织召开专业教学指导委员会会议；主持课程体系建设工作，制定专业课程建设规划，组织课程开发与建设工作；统筹规划教学团队建设；主持满足教学实施的教学条件建设；主持建立教学保障运行机制。</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2.骨干教师队伍</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骨干教师需具有较丰富的专业知识和教学经验，能根据行业、企业实际技术应用技术开展教学工作，教学效果良好；对职业教育有一定的研究，具有职业课程开发与实施教学改革的能力；具有丰富的专业实践经历，能够组织实施实践教学。其主要工作有：参与人才培养方案制订的相关工作，进行专业核心课程的开发与建设，编写相关教学文件，进行实训室建设，参与教学管理制度的编制。</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3.兼职教师队伍</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兼职教师主要由具备丰富实践经验和较强专业技能的企业专家、一线技术人员和能工巧匠组成，具备较强的解决生产技术问题的能力，善于沟通与表达。其主要工作有：参与人才培养方案的制订；承担一定的教学任务，指导实训；参与课程开发与建设，参与相关教学文件的编写；参与校内实训室和校外实习基地建设。</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（二）实训条件</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1.校内实训场地</w:t>
      </w:r>
    </w:p>
    <w:p>
      <w:pPr>
        <w:snapToGrid w:val="0"/>
        <w:spacing w:line="380" w:lineRule="exact"/>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校内实训场地建设要求一览表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2"/>
        <w:gridCol w:w="2443"/>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2212" w:type="dxa"/>
            <w:shd w:val="clear" w:color="auto" w:fill="FFFFFF"/>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实训场地名称</w:t>
            </w:r>
          </w:p>
        </w:tc>
        <w:tc>
          <w:tcPr>
            <w:tcW w:w="2443" w:type="dxa"/>
            <w:shd w:val="clear" w:color="auto" w:fill="FFFFFF"/>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主要设备配置</w:t>
            </w:r>
          </w:p>
        </w:tc>
        <w:tc>
          <w:tcPr>
            <w:tcW w:w="4320" w:type="dxa"/>
            <w:shd w:val="clear" w:color="auto" w:fill="FFFFFF"/>
            <w:vAlign w:val="center"/>
          </w:tcPr>
          <w:p>
            <w:pPr>
              <w:tabs>
                <w:tab w:val="left" w:pos="-7"/>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0"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原子吸收分光光度计实训室</w:t>
            </w:r>
          </w:p>
        </w:tc>
        <w:tc>
          <w:tcPr>
            <w:tcW w:w="2443" w:type="dxa"/>
            <w:vAlign w:val="center"/>
          </w:tcPr>
          <w:p>
            <w:pPr>
              <w:tabs>
                <w:tab w:val="left" w:pos="900"/>
              </w:tabs>
              <w:snapToGrid w:val="0"/>
              <w:spacing w:line="380" w:lineRule="exact"/>
              <w:ind w:firstLine="90" w:firstLineChars="50"/>
              <w:jc w:val="left"/>
              <w:rPr>
                <w:rFonts w:ascii="Times New Roman" w:hAnsi="Times New Roman" w:eastAsia="宋体" w:cs="Times New Roman"/>
                <w:bCs/>
                <w:sz w:val="18"/>
                <w:szCs w:val="18"/>
              </w:rPr>
            </w:pPr>
            <w:r>
              <w:rPr>
                <w:rFonts w:ascii="Times New Roman" w:hAnsi="Times New Roman" w:eastAsia="宋体" w:cs="Times New Roman"/>
                <w:bCs/>
                <w:sz w:val="18"/>
                <w:szCs w:val="18"/>
              </w:rPr>
              <w:t>原子吸收分光光度计等设备。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主要对粮食食品中常量和微量金属元素进行定量分</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析，承担学生实训教学和教师科研任务，使学生掌</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握原子吸收光谱仪的使用技能和日常保养维护方法；</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气相色谱仪实训室</w:t>
            </w:r>
          </w:p>
        </w:tc>
        <w:tc>
          <w:tcPr>
            <w:tcW w:w="2443" w:type="dxa"/>
            <w:vAlign w:val="center"/>
          </w:tcPr>
          <w:p>
            <w:pPr>
              <w:tabs>
                <w:tab w:val="left" w:pos="900"/>
              </w:tabs>
              <w:snapToGrid w:val="0"/>
              <w:spacing w:line="380" w:lineRule="exact"/>
              <w:ind w:firstLine="90" w:firstLineChars="50"/>
              <w:jc w:val="left"/>
              <w:rPr>
                <w:rFonts w:ascii="Times New Roman" w:hAnsi="Times New Roman" w:eastAsia="宋体" w:cs="Times New Roman"/>
                <w:bCs/>
                <w:sz w:val="18"/>
                <w:szCs w:val="18"/>
              </w:rPr>
            </w:pPr>
            <w:r>
              <w:rPr>
                <w:rFonts w:ascii="Times New Roman" w:hAnsi="Times New Roman" w:eastAsia="宋体" w:cs="Times New Roman"/>
                <w:bCs/>
                <w:sz w:val="18"/>
                <w:szCs w:val="18"/>
              </w:rPr>
              <w:t>气相色谱仪等设备。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主要用于粮油、食品中热稳定性较好成分的分析检验</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以及农药残留的检验，主要承担学生实训教学和教师</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科研任务，使学生掌握仪器使用、日常保养和排障知</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识；职业技能鉴定考核。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高效液相色谱仪实训室</w:t>
            </w:r>
          </w:p>
        </w:tc>
        <w:tc>
          <w:tcPr>
            <w:tcW w:w="2443" w:type="dxa"/>
            <w:vAlign w:val="center"/>
          </w:tcPr>
          <w:p>
            <w:pPr>
              <w:tabs>
                <w:tab w:val="left" w:pos="900"/>
              </w:tabs>
              <w:snapToGrid w:val="0"/>
              <w:spacing w:line="380" w:lineRule="exact"/>
              <w:ind w:left="90" w:leftChars="43"/>
              <w:jc w:val="left"/>
              <w:rPr>
                <w:rFonts w:ascii="Times New Roman" w:hAnsi="Times New Roman" w:eastAsia="宋体" w:cs="Times New Roman"/>
                <w:bCs/>
                <w:sz w:val="18"/>
                <w:szCs w:val="18"/>
              </w:rPr>
            </w:pPr>
            <w:r>
              <w:rPr>
                <w:rFonts w:ascii="Times New Roman" w:hAnsi="Times New Roman" w:eastAsia="宋体" w:cs="Times New Roman"/>
                <w:bCs/>
                <w:sz w:val="18"/>
                <w:szCs w:val="18"/>
              </w:rPr>
              <w:t>高效液相色谱仪、氨基酸分析仪等设备。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主要用于粮油、食品营养成分的分析检验，承担学生</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实训教学和教师科研任务，使学生掌握高效液相色谱</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仪和氨基酸分析仪的基本结构和使用，掌握仪器的日常保养和排障知识；职业技能鉴定考核。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粉质仪实训室</w:t>
            </w:r>
          </w:p>
        </w:tc>
        <w:tc>
          <w:tcPr>
            <w:tcW w:w="2443" w:type="dxa"/>
            <w:vAlign w:val="center"/>
          </w:tcPr>
          <w:p>
            <w:pPr>
              <w:tabs>
                <w:tab w:val="left" w:pos="900"/>
              </w:tabs>
              <w:snapToGrid w:val="0"/>
              <w:spacing w:line="380" w:lineRule="exact"/>
              <w:jc w:val="lef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粉质仪等设备。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主要用于面粉工艺品质检验的实训教学，重点培养学</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生对面粉品质检验和质量监控的基本技能，使学生熟</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练掌握设备的使用、熟悉设备的常规维修及保养；职</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分光光度计实训室</w:t>
            </w:r>
          </w:p>
        </w:tc>
        <w:tc>
          <w:tcPr>
            <w:tcW w:w="2443" w:type="dxa"/>
            <w:vAlign w:val="center"/>
          </w:tcPr>
          <w:p>
            <w:pPr>
              <w:tabs>
                <w:tab w:val="left" w:pos="900"/>
              </w:tabs>
              <w:snapToGrid w:val="0"/>
              <w:spacing w:line="380" w:lineRule="exact"/>
              <w:ind w:left="90" w:leftChars="43"/>
              <w:rPr>
                <w:rFonts w:ascii="Times New Roman" w:hAnsi="Times New Roman" w:eastAsia="宋体" w:cs="Times New Roman"/>
                <w:bCs/>
                <w:sz w:val="18"/>
                <w:szCs w:val="18"/>
              </w:rPr>
            </w:pPr>
            <w:r>
              <w:rPr>
                <w:rFonts w:ascii="Times New Roman" w:hAnsi="Times New Roman" w:eastAsia="宋体" w:cs="Times New Roman"/>
                <w:bCs/>
                <w:sz w:val="18"/>
                <w:szCs w:val="18"/>
              </w:rPr>
              <w:t>可见分光光度计、紫外可见分光光度计等设备。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主要承担分析检验类实训课程的基本教学，并为教师</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科研服务，使学生掌握仪器的基本结构、使用和日常</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保养维护方法；职业技能鉴定考核。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粮油物理检验实训室</w:t>
            </w:r>
          </w:p>
        </w:tc>
        <w:tc>
          <w:tcPr>
            <w:tcW w:w="2443" w:type="dxa"/>
          </w:tcPr>
          <w:p>
            <w:pPr>
              <w:tabs>
                <w:tab w:val="left" w:pos="900"/>
              </w:tabs>
              <w:snapToGrid w:val="0"/>
              <w:spacing w:line="380" w:lineRule="exact"/>
              <w:ind w:firstLine="90" w:firstLineChars="50"/>
              <w:rPr>
                <w:rFonts w:ascii="Times New Roman" w:hAnsi="Times New Roman" w:eastAsia="宋体" w:cs="Times New Roman"/>
                <w:bCs/>
                <w:sz w:val="18"/>
                <w:szCs w:val="18"/>
              </w:rPr>
            </w:pPr>
            <w:r>
              <w:rPr>
                <w:rFonts w:ascii="Times New Roman" w:hAnsi="Times New Roman" w:eastAsia="宋体" w:cs="Times New Roman"/>
                <w:bCs/>
                <w:sz w:val="18"/>
                <w:szCs w:val="18"/>
              </w:rPr>
              <w:t>容重器、粉碎机、碎米分离器、</w:t>
            </w:r>
          </w:p>
          <w:p>
            <w:pPr>
              <w:tabs>
                <w:tab w:val="left" w:pos="900"/>
              </w:tabs>
              <w:snapToGrid w:val="0"/>
              <w:spacing w:line="380" w:lineRule="exact"/>
              <w:ind w:left="90" w:leftChars="43"/>
              <w:rPr>
                <w:rFonts w:ascii="Times New Roman" w:hAnsi="Times New Roman" w:eastAsia="宋体" w:cs="Times New Roman"/>
                <w:bCs/>
                <w:sz w:val="18"/>
                <w:szCs w:val="18"/>
              </w:rPr>
            </w:pPr>
            <w:r>
              <w:rPr>
                <w:rFonts w:ascii="Times New Roman" w:hAnsi="Times New Roman" w:eastAsia="宋体" w:cs="Times New Roman"/>
                <w:bCs/>
                <w:sz w:val="18"/>
                <w:szCs w:val="18"/>
              </w:rPr>
              <w:t>阿贝折射仪、砻谷机、电子秤、电子天平等设备。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培养学生具有采集样品和处理样品的能力，具有应用</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物理分析的知识与方法对样品进行检验与分析的能</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粮油化学检验实训室</w:t>
            </w:r>
          </w:p>
        </w:tc>
        <w:tc>
          <w:tcPr>
            <w:tcW w:w="2443" w:type="dxa"/>
          </w:tcPr>
          <w:p>
            <w:pPr>
              <w:spacing w:line="400" w:lineRule="atLeas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粗脂肪测定仪、凯氏定氮消化</w:t>
            </w:r>
          </w:p>
          <w:p>
            <w:pPr>
              <w:spacing w:line="400" w:lineRule="atLeast"/>
              <w:ind w:left="90" w:hanging="90" w:hangingChars="50"/>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炉、纤维素测定仪、数显鼓风干燥箱、高温炉等设备。</w:t>
            </w:r>
          </w:p>
        </w:tc>
        <w:tc>
          <w:tcPr>
            <w:tcW w:w="4320" w:type="dxa"/>
            <w:vAlign w:val="center"/>
          </w:tcPr>
          <w:p>
            <w:pPr>
              <w:spacing w:line="400" w:lineRule="atLeas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培养学生具有采集样品和处理样品的能力，具有应用</w:t>
            </w:r>
          </w:p>
          <w:p>
            <w:pPr>
              <w:spacing w:line="400" w:lineRule="atLeas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化学分析的知识与方法对样品进行检验与分析的能</w:t>
            </w:r>
          </w:p>
          <w:p>
            <w:pPr>
              <w:spacing w:line="400" w:lineRule="atLeas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粮食微生物技术实训室</w:t>
            </w:r>
          </w:p>
        </w:tc>
        <w:tc>
          <w:tcPr>
            <w:tcW w:w="2443" w:type="dxa"/>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自动高压灭菌锅、无菌操作台、</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双目型生物显微镜、冰箱、培</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养箱等设备。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培养学生具有检验食品中细菌总数、大肠菌群等微生</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物的能力；职业技能鉴定考核。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玻璃仪器室</w:t>
            </w:r>
          </w:p>
        </w:tc>
        <w:tc>
          <w:tcPr>
            <w:tcW w:w="2443" w:type="dxa"/>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烧杯、容量瓶、锥形瓶、索氏</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抽提器、凯氏定氮器等设备。</w:t>
            </w:r>
          </w:p>
        </w:tc>
        <w:tc>
          <w:tcPr>
            <w:tcW w:w="4320" w:type="dxa"/>
            <w:vAlign w:val="center"/>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存放各类检验玻璃仪器。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药品试剂室</w:t>
            </w:r>
          </w:p>
        </w:tc>
        <w:tc>
          <w:tcPr>
            <w:tcW w:w="2443" w:type="dxa"/>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实训项目用试剂。</w:t>
            </w:r>
          </w:p>
        </w:tc>
        <w:tc>
          <w:tcPr>
            <w:tcW w:w="4320" w:type="dxa"/>
            <w:vAlign w:val="center"/>
          </w:tcPr>
          <w:p>
            <w:pPr>
              <w:widowControl/>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存放各类检验药品和试剂。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天平室</w:t>
            </w:r>
          </w:p>
        </w:tc>
        <w:tc>
          <w:tcPr>
            <w:tcW w:w="2443" w:type="dxa"/>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电子天平（0.01g、0.0001g）</w:t>
            </w:r>
          </w:p>
        </w:tc>
        <w:tc>
          <w:tcPr>
            <w:tcW w:w="4320" w:type="dxa"/>
            <w:vAlign w:val="center"/>
          </w:tcPr>
          <w:p>
            <w:pPr>
              <w:widowControl/>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增量法、减量法、指定质量称量法称量样品试剂等。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资讯辅助实训室</w:t>
            </w:r>
          </w:p>
        </w:tc>
        <w:tc>
          <w:tcPr>
            <w:tcW w:w="2443" w:type="dxa"/>
          </w:tcPr>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电脑等。</w:t>
            </w:r>
          </w:p>
        </w:tc>
        <w:tc>
          <w:tcPr>
            <w:tcW w:w="4320" w:type="dxa"/>
            <w:vAlign w:val="center"/>
          </w:tcPr>
          <w:p>
            <w:pPr>
              <w:widowControl/>
              <w:rPr>
                <w:rFonts w:ascii="Times New Roman" w:hAnsi="Times New Roman" w:eastAsia="宋体" w:cs="Times New Roman"/>
                <w:bCs/>
                <w:sz w:val="18"/>
                <w:szCs w:val="18"/>
              </w:rPr>
            </w:pPr>
            <w:r>
              <w:rPr>
                <w:rFonts w:ascii="Times New Roman" w:hAnsi="Times New Roman" w:eastAsia="宋体" w:cs="Times New Roman"/>
                <w:bCs/>
                <w:sz w:val="18"/>
                <w:szCs w:val="18"/>
              </w:rPr>
              <w:t xml:space="preserve"> 查阅文献资料，编制检验报告。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sz w:val="18"/>
                <w:szCs w:val="18"/>
              </w:rPr>
            </w:pPr>
            <w:r>
              <w:rPr>
                <w:rFonts w:ascii="Times New Roman" w:hAnsi="Times New Roman" w:eastAsia="宋体" w:cs="Times New Roman"/>
                <w:bCs/>
                <w:kern w:val="0"/>
                <w:sz w:val="18"/>
                <w:szCs w:val="18"/>
              </w:rPr>
              <w:t>烘焙食品生产实训基地</w:t>
            </w:r>
          </w:p>
        </w:tc>
        <w:tc>
          <w:tcPr>
            <w:tcW w:w="2443" w:type="dxa"/>
            <w:vAlign w:val="center"/>
          </w:tcPr>
          <w:p>
            <w:pPr>
              <w:tabs>
                <w:tab w:val="left" w:pos="900"/>
              </w:tabs>
              <w:snapToGrid w:val="0"/>
              <w:spacing w:line="380" w:lineRule="exact"/>
              <w:ind w:left="90" w:leftChars="43"/>
              <w:rPr>
                <w:rFonts w:ascii="Times New Roman" w:hAnsi="Times New Roman" w:eastAsia="宋体" w:cs="Times New Roman"/>
                <w:bCs/>
                <w:sz w:val="18"/>
                <w:szCs w:val="18"/>
              </w:rPr>
            </w:pPr>
            <w:r>
              <w:rPr>
                <w:rFonts w:ascii="Times New Roman" w:hAnsi="Times New Roman" w:eastAsia="宋体" w:cs="Times New Roman"/>
                <w:bCs/>
                <w:kern w:val="0"/>
                <w:sz w:val="18"/>
                <w:szCs w:val="18"/>
              </w:rPr>
              <w:t>搅拌机、打蛋机、醒发箱、烤箱、起酥机等设备。</w:t>
            </w:r>
          </w:p>
        </w:tc>
        <w:tc>
          <w:tcPr>
            <w:tcW w:w="4320" w:type="dxa"/>
            <w:vAlign w:val="center"/>
          </w:tcPr>
          <w:p>
            <w:pPr>
              <w:tabs>
                <w:tab w:val="left" w:pos="900"/>
              </w:tabs>
              <w:snapToGrid w:val="0"/>
              <w:spacing w:line="380" w:lineRule="exac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 xml:space="preserve"> 培养学生能对常用的烘焙设备进行操作和维护的能</w:t>
            </w:r>
          </w:p>
          <w:p>
            <w:pPr>
              <w:tabs>
                <w:tab w:val="left" w:pos="900"/>
              </w:tabs>
              <w:snapToGrid w:val="0"/>
              <w:spacing w:line="380" w:lineRule="exac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 xml:space="preserve"> 力，具有对常见烘焙类食品生产加工的能力； </w:t>
            </w:r>
          </w:p>
          <w:p>
            <w:pPr>
              <w:tabs>
                <w:tab w:val="left" w:pos="900"/>
              </w:tabs>
              <w:snapToGrid w:val="0"/>
              <w:spacing w:line="380" w:lineRule="exact"/>
              <w:rPr>
                <w:rFonts w:ascii="Times New Roman" w:hAnsi="Times New Roman" w:eastAsia="宋体" w:cs="Times New Roman"/>
                <w:bCs/>
                <w:sz w:val="18"/>
                <w:szCs w:val="18"/>
              </w:rPr>
            </w:pPr>
            <w:r>
              <w:rPr>
                <w:rFonts w:ascii="Times New Roman" w:hAnsi="Times New Roman" w:eastAsia="宋体" w:cs="Times New Roman"/>
                <w:bCs/>
                <w:kern w:val="0"/>
                <w:sz w:val="18"/>
                <w:szCs w:val="18"/>
              </w:rPr>
              <w:t xml:space="preserve"> 职业技能鉴定考核。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ind w:left="90" w:leftChars="43"/>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大米综合生产技术理实</w:t>
            </w:r>
          </w:p>
          <w:p>
            <w:pPr>
              <w:tabs>
                <w:tab w:val="left" w:pos="900"/>
              </w:tabs>
              <w:snapToGrid w:val="0"/>
              <w:spacing w:line="380" w:lineRule="exact"/>
              <w:ind w:left="90" w:leftChars="43"/>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一体化实训室</w:t>
            </w:r>
          </w:p>
        </w:tc>
        <w:tc>
          <w:tcPr>
            <w:tcW w:w="2443" w:type="dxa"/>
            <w:vAlign w:val="center"/>
          </w:tcPr>
          <w:p>
            <w:pPr>
              <w:tabs>
                <w:tab w:val="left" w:pos="900"/>
              </w:tabs>
              <w:snapToGrid w:val="0"/>
              <w:spacing w:line="380" w:lineRule="exact"/>
              <w:ind w:left="90" w:leftChars="43"/>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30T/D大米生产线</w:t>
            </w:r>
          </w:p>
        </w:tc>
        <w:tc>
          <w:tcPr>
            <w:tcW w:w="4320" w:type="dxa"/>
            <w:vAlign w:val="center"/>
          </w:tcPr>
          <w:p>
            <w:pPr>
              <w:tabs>
                <w:tab w:val="left" w:pos="900"/>
              </w:tabs>
              <w:snapToGrid w:val="0"/>
              <w:spacing w:line="380" w:lineRule="exact"/>
              <w:ind w:left="90" w:leftChars="43"/>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大米生产操作、设备保养与检修、大米生产工艺调试、粮食饲料生产技术改造等理实一体化教学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ind w:left="90" w:leftChars="43"/>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粮油饲料生产设备展示及存放实训室</w:t>
            </w:r>
          </w:p>
        </w:tc>
        <w:tc>
          <w:tcPr>
            <w:tcW w:w="2443" w:type="dxa"/>
          </w:tcPr>
          <w:p>
            <w:pPr>
              <w:tabs>
                <w:tab w:val="left" w:pos="900"/>
              </w:tabs>
              <w:snapToGrid w:val="0"/>
              <w:spacing w:line="380" w:lineRule="exact"/>
              <w:ind w:left="90" w:leftChars="43"/>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粉碎机、混合机、膨化制粒机、色选机等大米、饲料生产设备</w:t>
            </w:r>
          </w:p>
        </w:tc>
        <w:tc>
          <w:tcPr>
            <w:tcW w:w="4320" w:type="dxa"/>
            <w:vAlign w:val="center"/>
          </w:tcPr>
          <w:p>
            <w:pPr>
              <w:tabs>
                <w:tab w:val="left" w:pos="900"/>
              </w:tabs>
              <w:snapToGrid w:val="0"/>
              <w:spacing w:line="380" w:lineRule="exact"/>
              <w:ind w:left="90" w:leftChars="43"/>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设备认知、设备基本操作技能理实一体化教学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 w:hRule="atLeast"/>
        </w:trPr>
        <w:tc>
          <w:tcPr>
            <w:tcW w:w="2212" w:type="dxa"/>
            <w:vAlign w:val="center"/>
          </w:tcPr>
          <w:p>
            <w:pPr>
              <w:tabs>
                <w:tab w:val="left" w:pos="900"/>
              </w:tabs>
              <w:snapToGrid w:val="0"/>
              <w:spacing w:line="380" w:lineRule="exact"/>
              <w:jc w:val="center"/>
              <w:rPr>
                <w:rFonts w:ascii="Times New Roman" w:hAnsi="Times New Roman" w:eastAsia="宋体" w:cs="Times New Roman"/>
                <w:bCs/>
                <w:kern w:val="0"/>
                <w:sz w:val="18"/>
                <w:szCs w:val="18"/>
              </w:rPr>
            </w:pPr>
            <w:r>
              <w:rPr>
                <w:rFonts w:ascii="Times New Roman" w:hAnsi="Times New Roman" w:eastAsia="宋体" w:cs="Times New Roman"/>
                <w:bCs/>
                <w:sz w:val="18"/>
                <w:szCs w:val="18"/>
              </w:rPr>
              <w:t>营养仿真实训室</w:t>
            </w:r>
          </w:p>
        </w:tc>
        <w:tc>
          <w:tcPr>
            <w:tcW w:w="2443" w:type="dxa"/>
            <w:vAlign w:val="center"/>
          </w:tcPr>
          <w:p>
            <w:pPr>
              <w:tabs>
                <w:tab w:val="left" w:pos="900"/>
              </w:tabs>
              <w:snapToGrid w:val="0"/>
              <w:spacing w:line="380" w:lineRule="exact"/>
              <w:ind w:firstLine="90" w:firstLineChars="50"/>
              <w:jc w:val="lef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身高体重测定仪、血压计、血糖仪、血脂分析仪、微量元素测定仪等</w:t>
            </w:r>
          </w:p>
        </w:tc>
        <w:tc>
          <w:tcPr>
            <w:tcW w:w="4320" w:type="dxa"/>
            <w:vAlign w:val="center"/>
          </w:tcPr>
          <w:p>
            <w:pPr>
              <w:tabs>
                <w:tab w:val="left" w:pos="900"/>
              </w:tabs>
              <w:snapToGrid w:val="0"/>
              <w:spacing w:line="380" w:lineRule="exact"/>
              <w:rPr>
                <w:rFonts w:ascii="Times New Roman" w:hAnsi="Times New Roman" w:eastAsia="宋体" w:cs="Times New Roman"/>
                <w:bCs/>
                <w:kern w:val="0"/>
                <w:sz w:val="18"/>
                <w:szCs w:val="18"/>
              </w:rPr>
            </w:pPr>
            <w:r>
              <w:rPr>
                <w:rFonts w:ascii="Times New Roman" w:hAnsi="Times New Roman" w:eastAsia="宋体" w:cs="Times New Roman"/>
                <w:bCs/>
                <w:sz w:val="18"/>
                <w:szCs w:val="18"/>
              </w:rPr>
              <w:t>主要用于营养测评和营养配餐课程的学习，承担学生实训教学和教师科研任务，使学生掌握丰富、灵活、全面、专业的测评方法，能分析周期内的膳食结构和营养状况，具备给予科学营养推荐的基本技能。</w:t>
            </w:r>
          </w:p>
        </w:tc>
      </w:tr>
    </w:tbl>
    <w:p>
      <w:pPr>
        <w:snapToGrid w:val="0"/>
        <w:spacing w:line="380" w:lineRule="exact"/>
        <w:ind w:firstLine="420" w:firstLineChars="200"/>
        <w:outlineLvl w:val="0"/>
        <w:rPr>
          <w:rFonts w:ascii="宋体" w:hAnsi="宋体" w:eastAsia="宋体"/>
          <w:szCs w:val="21"/>
        </w:rPr>
      </w:pPr>
    </w:p>
    <w:p>
      <w:pPr>
        <w:snapToGrid w:val="0"/>
        <w:spacing w:line="380" w:lineRule="exact"/>
        <w:ind w:firstLine="420" w:firstLineChars="200"/>
        <w:outlineLvl w:val="0"/>
        <w:rPr>
          <w:rFonts w:ascii="宋体" w:hAnsi="宋体" w:eastAsia="宋体"/>
          <w:szCs w:val="21"/>
        </w:rPr>
      </w:pPr>
      <w:r>
        <w:rPr>
          <w:rFonts w:ascii="宋体" w:hAnsi="宋体" w:eastAsia="宋体"/>
          <w:szCs w:val="21"/>
        </w:rPr>
        <w:t>2.校外实习场地</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校外实习基地主要有好利来、南昌同心集团、煌上煌集团、知心天瑞、南昌屏荣食品有限公司、江西省粮油质量监督检测中心、南昌达利食品有限公司、可口可乐等企业，以满足专业教学和学生职业能力、职业素质的培养要求。校外实习基地从功能上应满足专业认识实习、专业课程教学和顶岗实习的要求，应具备一定的师资条件、住宿条件、场地条件和设备条件，生产工艺和设备相对先进，并具有相对的稳定性，最好离学校距离较近，以便于实践教学各项管理制度的落实和专业课程教学的实施，保证教学时间和教学效果。</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（三）其他资源</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专业以课程教学资源为核心进行教学资源建设，既能为专业人才培养方案实施提供保障，同时也能为学生自主学习、提升学习兴趣、拓展专业知识提供帮助。</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1.课程建设</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课程教学是学生获得知识，发展能力和素质的重要途径。通过教学团队的共同努力，已建成《食品营养与健康》省级精品课程和《粮食饲料检验》省级精品课程，同时提供检验基础操作视频，为培养优秀的专业人才提供保障。</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2.专业社团</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食检精英社”是以粮工实训楼检验实训室为依托的食品检验检测技术及其相关专业的学生和食品健康爱好者组成的学生社团。该社团是以食品安全质量管理为主的专业类社团，时刻关注着“食品安全与健康”；致力于培养高端分析检验人才，提高学生就业质量水平，开拓高端就业机会。</w:t>
      </w:r>
    </w:p>
    <w:p>
      <w:pPr>
        <w:snapToGrid w:val="0"/>
        <w:spacing w:line="380" w:lineRule="exact"/>
        <w:ind w:firstLine="420" w:firstLineChars="200"/>
        <w:outlineLvl w:val="0"/>
        <w:rPr>
          <w:rFonts w:ascii="宋体" w:hAnsi="宋体" w:eastAsia="宋体"/>
          <w:szCs w:val="21"/>
        </w:rPr>
      </w:pPr>
      <w:r>
        <w:rPr>
          <w:rFonts w:ascii="宋体" w:hAnsi="宋体" w:eastAsia="宋体"/>
          <w:szCs w:val="21"/>
        </w:rPr>
        <w:t>3.创客空间</w:t>
      </w:r>
    </w:p>
    <w:p>
      <w:pPr>
        <w:snapToGrid w:val="0"/>
        <w:spacing w:line="380" w:lineRule="exact"/>
        <w:ind w:firstLine="420" w:firstLineChars="200"/>
        <w:outlineLvl w:val="0"/>
        <w:rPr>
          <w:rFonts w:ascii="宋体" w:hAnsi="宋体" w:eastAsia="宋体"/>
          <w:b/>
          <w:sz w:val="24"/>
        </w:rPr>
      </w:pPr>
      <w:r>
        <w:rPr>
          <w:rFonts w:hint="eastAsia" w:ascii="宋体" w:hAnsi="宋体" w:eastAsia="宋体"/>
          <w:szCs w:val="21"/>
        </w:rPr>
        <w:t>“五谷杂粮创意坊”本着“创意</w:t>
      </w:r>
      <w:r>
        <w:rPr>
          <w:rFonts w:hint="eastAsia" w:ascii="宋体" w:hAnsi="宋体" w:eastAsia="宋体" w:cs="宋体"/>
          <w:szCs w:val="21"/>
        </w:rPr>
        <w:t>•</w:t>
      </w:r>
      <w:r>
        <w:rPr>
          <w:rFonts w:ascii="宋体" w:hAnsi="宋体" w:eastAsia="宋体"/>
          <w:szCs w:val="21"/>
        </w:rPr>
        <w:t>创新</w:t>
      </w:r>
      <w:r>
        <w:rPr>
          <w:rFonts w:hint="eastAsia" w:ascii="宋体" w:hAnsi="宋体" w:eastAsia="宋体" w:cs="宋体"/>
          <w:szCs w:val="21"/>
        </w:rPr>
        <w:t>•</w:t>
      </w:r>
      <w:r>
        <w:rPr>
          <w:rFonts w:ascii="宋体" w:hAnsi="宋体" w:eastAsia="宋体"/>
          <w:szCs w:val="21"/>
        </w:rPr>
        <w:t>创造”的原则，以专业老师为引领和指导，组织和聚集一些对创意有想法和感兴趣的同学，充分发挥学生的创造性思维，进行各式各样的五谷杂粮方面的创意活动，从而获得有创意的产品。培养学生健康营养的饮食理念，也有利于提高学生的创新创造能力。</w:t>
      </w:r>
      <w:r>
        <w:rPr>
          <w:rFonts w:hint="eastAsia" w:ascii="宋体" w:hAnsi="宋体" w:eastAsia="宋体"/>
          <w:b/>
          <w:sz w:val="24"/>
        </w:rPr>
        <w:t xml:space="preserve"> </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九、运行实施与保障措施</w:t>
      </w:r>
      <w:bookmarkEnd w:id="7"/>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w:t>
      </w:r>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w:t>
            </w:r>
          </w:p>
          <w:p>
            <w:pPr>
              <w:jc w:val="center"/>
              <w:rPr>
                <w:rFonts w:ascii="宋体" w:hAnsi="宋体" w:eastAsia="宋体" w:cs="宋体"/>
                <w:sz w:val="18"/>
                <w:szCs w:val="18"/>
              </w:rPr>
            </w:pPr>
            <w:r>
              <w:rPr>
                <w:rFonts w:hint="eastAsia" w:ascii="宋体" w:hAnsi="宋体" w:eastAsia="宋体" w:cs="宋体"/>
                <w:sz w:val="18"/>
                <w:szCs w:val="18"/>
              </w:rPr>
              <w:t>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pStyle w:val="24"/>
        <w:ind w:firstLine="0" w:firstLineChars="0"/>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snapToGrid w:val="0"/>
        <w:spacing w:line="380" w:lineRule="exact"/>
        <w:ind w:firstLine="420" w:firstLineChars="200"/>
        <w:rPr>
          <w:rFonts w:ascii="宋体" w:hAnsi="宋体" w:eastAsia="宋体"/>
          <w:szCs w:val="21"/>
        </w:rPr>
      </w:pPr>
      <w:r>
        <w:rPr>
          <w:rFonts w:hint="eastAsia" w:ascii="宋体" w:hAnsi="宋体" w:eastAsia="宋体"/>
          <w:szCs w:val="21"/>
        </w:rPr>
        <w:t>粮食工程技术专业群从总体上看，在省内处于领先地位，在全国处于优势地位。食品检验检测技术专业在省内开办时间较早，师资队伍、实训场所、教学科研水平在省内同类院校中处于领先地位；主要培养粮食食品类企业的品控主管和车间主任岗位人才。学院优质院校建设规划将创建食品安全检测技术协同创新中心，借此机会，开展食品安全对外服务项目（第三方检测），强化学生检验技能，培养学生参加全国食品检验技能大赛或粮油质检员比赛等，突出专业特色。</w:t>
      </w:r>
    </w:p>
    <w:p>
      <w:pPr>
        <w:snapToGrid w:val="0"/>
        <w:spacing w:line="380" w:lineRule="exact"/>
        <w:ind w:firstLine="420" w:firstLineChars="200"/>
        <w:rPr>
          <w:rFonts w:ascii="宋体" w:hAnsi="宋体" w:eastAsia="宋体"/>
          <w:szCs w:val="21"/>
        </w:rPr>
      </w:pPr>
      <w:r>
        <w:rPr>
          <w:rFonts w:hint="eastAsia" w:ascii="宋体" w:hAnsi="宋体" w:eastAsia="宋体"/>
          <w:szCs w:val="21"/>
        </w:rPr>
        <w:t>根据专业人才培养方案安排表组织实施课程教学，并结合创新创业教育与实践育人活动进一步提升专业人才的专业职业素质。以创新创业教育为引领的职业素质教育，既包括基本职业素质教育教学，也包括以专业知识与技能为主要内容的专业职业素质教育。</w:t>
      </w:r>
    </w:p>
    <w:p>
      <w:pPr>
        <w:snapToGrid w:val="0"/>
        <w:spacing w:line="380" w:lineRule="exact"/>
        <w:ind w:firstLine="420" w:firstLineChars="200"/>
        <w:rPr>
          <w:rFonts w:ascii="宋体" w:hAnsi="宋体" w:eastAsia="宋体"/>
          <w:szCs w:val="21"/>
        </w:rPr>
      </w:pPr>
      <w:r>
        <w:rPr>
          <w:rFonts w:hint="eastAsia" w:ascii="宋体" w:hAnsi="宋体" w:eastAsia="宋体"/>
          <w:szCs w:val="21"/>
        </w:rPr>
        <w:t>学生的专业职业素质教育根据安排表组织实施课程教学。课程体系是在专业调研基础上进行职业领域分析，首先明确专业就业岗位的主要工作项目及对人才职业技能的要求，依次确定食品检验检测技术专门人才应具有的专门技术，并分解若干个技术单元。根据技术单元列出的能</w:t>
      </w:r>
    </w:p>
    <w:p>
      <w:pPr>
        <w:snapToGrid w:val="0"/>
        <w:spacing w:line="380" w:lineRule="exact"/>
        <w:ind w:firstLine="420" w:firstLineChars="200"/>
        <w:rPr>
          <w:rFonts w:ascii="宋体" w:hAnsi="宋体" w:eastAsia="宋体"/>
          <w:szCs w:val="21"/>
        </w:rPr>
      </w:pPr>
      <w:r>
        <w:rPr>
          <w:rFonts w:hint="eastAsia" w:ascii="宋体" w:hAnsi="宋体" w:eastAsia="宋体"/>
          <w:szCs w:val="21"/>
        </w:rPr>
        <w:t>专业职业素质教学实施分五个阶段在校内（粮油食品系）和校外（企业）结合进行，实现粮食食品类企业岗位群综合职业能力的培养。</w:t>
      </w:r>
    </w:p>
    <w:p>
      <w:pPr>
        <w:snapToGrid w:val="0"/>
        <w:spacing w:line="380" w:lineRule="exact"/>
        <w:ind w:firstLine="420" w:firstLineChars="200"/>
        <w:rPr>
          <w:rFonts w:ascii="宋体" w:hAnsi="宋体" w:eastAsia="宋体"/>
          <w:szCs w:val="21"/>
        </w:rPr>
      </w:pPr>
      <w:r>
        <w:rPr>
          <w:rFonts w:hint="eastAsia" w:ascii="宋体" w:hAnsi="宋体" w:eastAsia="宋体"/>
          <w:szCs w:val="21"/>
        </w:rPr>
        <w:t>准初级工培养阶段（第</w:t>
      </w:r>
      <w:r>
        <w:rPr>
          <w:rFonts w:ascii="宋体" w:hAnsi="宋体" w:eastAsia="宋体"/>
          <w:szCs w:val="21"/>
        </w:rPr>
        <w:t>1学期）在校内资讯辅助实训室、天平室、药品试剂室、玻璃仪器室、粮油化学检验实训室、大米综合生产技术理实一体化实训室、粮食饲料生产设备展示及存放实训室、生产中控理实一体化实训实验室进行粮食食品企业入职培训、粮食食品检验基础、粮食食品原料特性等项目的教学实训。本阶段完成企业认知、检验基本知识认知、酸碱滴定操作、氧化还原滴定操作、沉淀滴定操作、配位滴定操作、粮食食品原料有机体各成分功能的识别及定性鉴定等初级操作所需知识的学习和技能的训练，让学生实现有指导下的操作能力，基本达到初级工的知识和技能</w:t>
      </w:r>
      <w:r>
        <w:rPr>
          <w:rFonts w:hint="eastAsia" w:ascii="宋体" w:hAnsi="宋体" w:eastAsia="宋体"/>
          <w:szCs w:val="21"/>
        </w:rPr>
        <w:t>要求。</w:t>
      </w:r>
    </w:p>
    <w:p>
      <w:pPr>
        <w:snapToGrid w:val="0"/>
        <w:spacing w:line="380" w:lineRule="exact"/>
        <w:ind w:firstLine="420" w:firstLineChars="200"/>
        <w:rPr>
          <w:rFonts w:ascii="宋体" w:hAnsi="宋体" w:eastAsia="宋体"/>
          <w:szCs w:val="21"/>
        </w:rPr>
      </w:pPr>
      <w:r>
        <w:rPr>
          <w:rFonts w:hint="eastAsia" w:ascii="宋体" w:hAnsi="宋体" w:eastAsia="宋体"/>
          <w:szCs w:val="21"/>
        </w:rPr>
        <w:t>准中级工培养阶段（第</w:t>
      </w:r>
      <w:r>
        <w:rPr>
          <w:rFonts w:ascii="宋体" w:hAnsi="宋体" w:eastAsia="宋体"/>
          <w:szCs w:val="21"/>
        </w:rPr>
        <w:t xml:space="preserve">2、3、4学期）教学实施以校内为主、企业适当补充的形式实现基于工作过程的教学，在校内资讯辅助实训室、粮油化学检验实训室、粮食微生物技术实训室、分光光度计实训室、原子吸收分光光度计实训室、气相色谱仪实训室、高效液相色谱仪实训室、等实训室为主进行食品理化检验、食品微生物检验、高端检验实务、营养推广、营养配餐、粮食食品安全与质量管理等课程的教学，完成食品常规理化指标、微生物指标、精密仪器操作的知识学习和技能训练，完成膳食指导和营养配餐的知识学习和技能训练，完成HACCP、ISO22000、GMP、SSOP等粮食食品质量管理体系的知识学习和技能训练，使学生具备独立进行检化验员/品控员/加工技术员工作的综合职业能力，基本达到中级工的知识和技能的要求。在此过程中，要特别注意充分利用企业参观、专业社团活动等教学活动的优势，根据教学需要，业余时间开放粮工实训室，强化专业技能，培养学生优良的职业素养。   </w:t>
      </w:r>
    </w:p>
    <w:p>
      <w:pPr>
        <w:snapToGrid w:val="0"/>
        <w:spacing w:line="380" w:lineRule="exact"/>
        <w:ind w:firstLine="420" w:firstLineChars="200"/>
        <w:rPr>
          <w:rFonts w:ascii="宋体" w:hAnsi="宋体" w:eastAsia="宋体"/>
          <w:szCs w:val="21"/>
        </w:rPr>
      </w:pPr>
      <w:r>
        <w:rPr>
          <w:rFonts w:hint="eastAsia" w:ascii="宋体" w:hAnsi="宋体" w:eastAsia="宋体"/>
          <w:szCs w:val="21"/>
        </w:rPr>
        <w:t>准高级工培养阶段（第</w:t>
      </w:r>
      <w:r>
        <w:rPr>
          <w:rFonts w:ascii="宋体" w:hAnsi="宋体" w:eastAsia="宋体"/>
          <w:szCs w:val="21"/>
        </w:rPr>
        <w:t>4、5学期）主要为专业能力综合化课程、创新创业课程以及高层互选课程三类，学习的内容上更具开放性，从定点监控到全面监控，要人为创设真实工作环境，无论在学校，还是在企业都要付出很大的成本。为此，本阶段教学一般情况下在学校与企业相合的方式进行实施。通过《粮食饲料检验》、《综合检验实务》等课程强化理化、微生物检验及精密仪器的操作，以真实的食品质量检验任务和国家标准规定的方法让学生独立规范完成完整的工作过程，通过课内实训、专业社团活动、专题讲座、技能竞赛、暑期实践等提升学生的综合专业能力。《粮食食</w:t>
      </w:r>
      <w:r>
        <w:rPr>
          <w:rFonts w:hint="eastAsia" w:ascii="宋体" w:hAnsi="宋体" w:eastAsia="宋体"/>
          <w:szCs w:val="21"/>
        </w:rPr>
        <w:t>品加工》主要培养学生大米</w:t>
      </w:r>
      <w:r>
        <w:rPr>
          <w:rFonts w:ascii="宋体" w:hAnsi="宋体" w:eastAsia="宋体"/>
          <w:szCs w:val="21"/>
        </w:rPr>
        <w:t>/饲料/烘焙食品生产工艺流程及生产设备操作的粮食食品加工技能，《烘焙食品加工》与《烘焙食品综合实务》强化学生制作蛋糕、饼干、面包等烘焙食品的实践能力；《粮食食品企业班组管理》课程主要培养学生如何有效管理班组提升品质控制能力；《门店开发与运营》则主要培养学生的营销能力以及如何结合专业知识开设并运营一家与食品相关的店面。通过教学和训练，使学生达到高级工的水平。</w:t>
      </w:r>
    </w:p>
    <w:p>
      <w:pPr>
        <w:snapToGrid w:val="0"/>
        <w:spacing w:line="380" w:lineRule="exact"/>
        <w:ind w:firstLine="420" w:firstLineChars="200"/>
        <w:rPr>
          <w:rFonts w:ascii="宋体" w:hAnsi="宋体" w:eastAsia="宋体"/>
          <w:szCs w:val="21"/>
        </w:rPr>
      </w:pPr>
      <w:r>
        <w:rPr>
          <w:rFonts w:hint="eastAsia" w:ascii="宋体" w:hAnsi="宋体" w:eastAsia="宋体"/>
          <w:szCs w:val="21"/>
        </w:rPr>
        <w:t>品控主管</w:t>
      </w:r>
      <w:r>
        <w:rPr>
          <w:rFonts w:ascii="宋体" w:hAnsi="宋体" w:eastAsia="宋体"/>
          <w:szCs w:val="21"/>
        </w:rPr>
        <w:t>/制作主任培养阶段（第6学期及工作后1～3年）在校企合作企业完成，学生以准员工的身份参与企业的实际工作，在固定工作岗位承担工作任务，进行岗位适应性训练，获得实际工作的真实体验，实现从会到熟练的转变，达到完成胜任工作岗位的目的；在此过程中同时展示能力、增进了解、融入企业，为获得组织管理和技术岗位打下基础。</w:t>
      </w:r>
    </w:p>
    <w:p>
      <w:pPr>
        <w:snapToGrid w:val="0"/>
        <w:spacing w:line="380" w:lineRule="exact"/>
        <w:ind w:firstLine="420" w:firstLineChars="200"/>
        <w:rPr>
          <w:rFonts w:ascii="宋体" w:hAnsi="宋体" w:eastAsia="宋体"/>
          <w:szCs w:val="21"/>
        </w:rPr>
      </w:pPr>
      <w:r>
        <w:rPr>
          <w:rFonts w:hint="eastAsia" w:ascii="宋体" w:hAnsi="宋体" w:eastAsia="宋体"/>
          <w:szCs w:val="21"/>
        </w:rPr>
        <w:t>为培养高端检测人才，提升专业核心竞争技能，特实行课内指导课外强化的管理办法。为了使学生在常规检测中能够多做、多练，达到过程规范，结果符合精密度和准确度的要求，在高端检测中能够熟练进行样品前处理、仪器开机—操作—关机、小故障排除、实验报告编制，到达独立完成样品检验的要求，故拟开放粮工楼实训场所，通过专业教师指导和管理，保证课余时间的专业技能训练正常开展。</w:t>
      </w:r>
    </w:p>
    <w:p>
      <w:pPr>
        <w:snapToGrid w:val="0"/>
        <w:spacing w:line="380" w:lineRule="exact"/>
        <w:ind w:firstLine="420" w:firstLineChars="200"/>
        <w:rPr>
          <w:rFonts w:ascii="宋体" w:hAnsi="宋体" w:eastAsia="宋体"/>
          <w:szCs w:val="21"/>
        </w:rPr>
      </w:pPr>
      <w:r>
        <w:rPr>
          <w:rFonts w:hint="eastAsia" w:ascii="宋体" w:hAnsi="宋体" w:eastAsia="宋体"/>
          <w:szCs w:val="21"/>
        </w:rPr>
        <w:t>专业职业素质教育教学与创新实践育人组织安排表见下表：</w:t>
      </w:r>
    </w:p>
    <w:p>
      <w:pPr>
        <w:jc w:val="center"/>
        <w:rPr>
          <w:rFonts w:ascii="宋体" w:hAnsi="宋体" w:eastAsia="宋体" w:cs="Times New Roman"/>
          <w:b/>
        </w:rPr>
      </w:pPr>
      <w:r>
        <w:rPr>
          <w:rFonts w:hint="eastAsia" w:ascii="宋体" w:hAnsi="宋体" w:eastAsia="宋体" w:cs="Times New Roman"/>
          <w:b/>
        </w:rPr>
        <w:t>专业职业素质教育教学与创新实践育人组织安排表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236"/>
        <w:gridCol w:w="1134"/>
        <w:gridCol w:w="1134"/>
        <w:gridCol w:w="226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培养阶段</w:t>
            </w:r>
          </w:p>
        </w:tc>
        <w:tc>
          <w:tcPr>
            <w:tcW w:w="709"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实施</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学期</w:t>
            </w:r>
          </w:p>
        </w:tc>
        <w:tc>
          <w:tcPr>
            <w:tcW w:w="1236"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培养与提升内容</w:t>
            </w:r>
          </w:p>
        </w:tc>
        <w:tc>
          <w:tcPr>
            <w:tcW w:w="5426" w:type="dxa"/>
            <w:gridSpan w:val="4"/>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Merge w:val="continue"/>
            <w:vAlign w:val="center"/>
          </w:tcPr>
          <w:p>
            <w:pPr>
              <w:jc w:val="center"/>
              <w:rPr>
                <w:rFonts w:ascii="Times New Roman" w:hAnsi="Times New Roman" w:eastAsia="宋体" w:cs="Times New Roman"/>
                <w:sz w:val="18"/>
                <w:szCs w:val="18"/>
              </w:rPr>
            </w:pP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课程教学</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实施部门</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实践育人</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准初级工培养阶段</w:t>
            </w:r>
          </w:p>
        </w:tc>
        <w:tc>
          <w:tcPr>
            <w:tcW w:w="709"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第1学期</w:t>
            </w: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企业的认知</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粮食食品企业入职培训</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kern w:val="0"/>
                <w:sz w:val="18"/>
                <w:szCs w:val="18"/>
              </w:rPr>
              <w:t>粮食食品企业对职工要求及生产工艺流程</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基本检验操作和仪器使用</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粮食食品检验基础</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检验仪器认知、试剂认知、有指导下的基本检验操作</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粮食食品原料有机体各成分功能的识别及定性鉴定</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粮食食品原料特性</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有指导下的定性分析实训</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准中级工培养阶段</w:t>
            </w:r>
          </w:p>
        </w:tc>
        <w:tc>
          <w:tcPr>
            <w:tcW w:w="709"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第2、3、4学期</w:t>
            </w: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常规理化指标分析独立操作</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食品理化检验</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营养指标检验实训、有毒有害物质检验实训等课内实训、粮工楼实训场所开放</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微生物指标分析独立操作</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食品微生物检验</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微生物培养基制备实训、微生物菌种培养实训等课内实训、粮工楼实训场所开放</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原吸、气相、液相等精密仪器操作</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高端检验实务</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精密仪器操作实训、专业社团活动</w:t>
            </w:r>
            <w:r>
              <w:rPr>
                <w:rFonts w:ascii="Times New Roman" w:hAnsi="Times New Roman" w:eastAsia="宋体" w:cs="Times New Roman"/>
                <w:sz w:val="18"/>
                <w:szCs w:val="18"/>
              </w:rPr>
              <w:softHyphen/>
            </w:r>
            <w:r>
              <w:rPr>
                <w:rFonts w:ascii="Times New Roman" w:hAnsi="Times New Roman" w:eastAsia="宋体" w:cs="Times New Roman"/>
                <w:sz w:val="18"/>
                <w:szCs w:val="18"/>
              </w:rPr>
              <w:softHyphen/>
            </w:r>
            <w:r>
              <w:rPr>
                <w:rFonts w:ascii="Times New Roman" w:hAnsi="Times New Roman" w:eastAsia="宋体" w:cs="Times New Roman"/>
                <w:sz w:val="18"/>
                <w:szCs w:val="18"/>
              </w:rPr>
              <w:t>、粮工楼实训场所开放、暑期实践</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独立进行膳食营养推广和膳食指导</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营养推广、营养配餐</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膳食调查和食谱编制实训、年龄差异化个性服务和配餐实训、专题讲座</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品质控制能力</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粮食食品安全与质量管理</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粮食食品企业质量管理体系、粮工楼实训场所开放、暑期实践</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熟悉生产设备、各岗位工艺流程</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粮食食品加工</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生产操作实训、企业参观</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restart"/>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准高级工培养阶段</w:t>
            </w:r>
          </w:p>
        </w:tc>
        <w:tc>
          <w:tcPr>
            <w:tcW w:w="709" w:type="dxa"/>
            <w:vMerge w:val="restart"/>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第4、5学期</w:t>
            </w: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检验综合操作</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综合检验实务、粮食饲料检验</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食品综合实训、专业社团活动</w:t>
            </w:r>
            <w:r>
              <w:rPr>
                <w:rFonts w:ascii="Times New Roman" w:hAnsi="Times New Roman" w:eastAsia="宋体" w:cs="Times New Roman"/>
                <w:sz w:val="18"/>
                <w:szCs w:val="18"/>
              </w:rPr>
              <w:softHyphen/>
            </w:r>
            <w:r>
              <w:rPr>
                <w:rFonts w:ascii="Times New Roman" w:hAnsi="Times New Roman" w:eastAsia="宋体" w:cs="Times New Roman"/>
                <w:sz w:val="18"/>
                <w:szCs w:val="18"/>
              </w:rPr>
              <w:softHyphen/>
            </w:r>
            <w:r>
              <w:rPr>
                <w:rFonts w:ascii="Times New Roman" w:hAnsi="Times New Roman" w:eastAsia="宋体" w:cs="Times New Roman"/>
                <w:sz w:val="18"/>
                <w:szCs w:val="18"/>
              </w:rPr>
              <w:t>、粮工楼实训场所开放、专题讲座、食品安全检测技术协同创新中心活动</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班组管理能力</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粮食食品企业班组管理</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专业社团活动</w:t>
            </w:r>
            <w:r>
              <w:rPr>
                <w:rFonts w:ascii="Times New Roman" w:hAnsi="Times New Roman" w:eastAsia="宋体" w:cs="Times New Roman"/>
                <w:sz w:val="18"/>
                <w:szCs w:val="18"/>
              </w:rPr>
              <w:softHyphen/>
            </w:r>
            <w:r>
              <w:rPr>
                <w:rFonts w:ascii="Times New Roman" w:hAnsi="Times New Roman" w:eastAsia="宋体" w:cs="Times New Roman"/>
                <w:sz w:val="18"/>
                <w:szCs w:val="18"/>
              </w:rPr>
              <w:softHyphen/>
            </w:r>
            <w:r>
              <w:rPr>
                <w:rFonts w:ascii="Times New Roman" w:hAnsi="Times New Roman" w:eastAsia="宋体" w:cs="Times New Roman"/>
                <w:sz w:val="18"/>
                <w:szCs w:val="18"/>
              </w:rPr>
              <w:t>、专题讲座、粮工楼实训场所开放、暑期实践、食品安全检测技术协同创新中心活动</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烘焙食品加工能力</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烘焙食品加工、</w:t>
            </w:r>
            <w:r>
              <w:rPr>
                <w:rFonts w:hint="eastAsia" w:ascii="Times New Roman" w:hAnsi="Times New Roman" w:eastAsia="宋体" w:cs="Times New Roman"/>
                <w:sz w:val="18"/>
                <w:szCs w:val="18"/>
              </w:rPr>
              <w:t>烘焙食品综合实务</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专业社团活动、粮工楼实训场所开放、暑期实践</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vAlign w:val="center"/>
          </w:tcPr>
          <w:p>
            <w:pPr>
              <w:jc w:val="center"/>
              <w:rPr>
                <w:rFonts w:ascii="Times New Roman" w:hAnsi="Times New Roman" w:eastAsia="宋体" w:cs="Times New Roman"/>
                <w:sz w:val="18"/>
                <w:szCs w:val="18"/>
              </w:rPr>
            </w:pPr>
          </w:p>
        </w:tc>
        <w:tc>
          <w:tcPr>
            <w:tcW w:w="709" w:type="dxa"/>
            <w:vMerge w:val="continue"/>
            <w:vAlign w:val="center"/>
          </w:tcPr>
          <w:p>
            <w:pPr>
              <w:jc w:val="center"/>
              <w:rPr>
                <w:rFonts w:ascii="Times New Roman" w:hAnsi="Times New Roman" w:eastAsia="宋体" w:cs="Times New Roman"/>
                <w:sz w:val="18"/>
                <w:szCs w:val="18"/>
              </w:rPr>
            </w:pPr>
          </w:p>
        </w:tc>
        <w:tc>
          <w:tcPr>
            <w:tcW w:w="1236"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创新创业能力素质；综合能力素质</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门店开发与运营</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创客空间</w:t>
            </w:r>
            <w:r>
              <w:rPr>
                <w:rFonts w:ascii="Times New Roman" w:hAnsi="Times New Roman" w:eastAsia="宋体" w:cs="Times New Roman"/>
                <w:sz w:val="18"/>
                <w:szCs w:val="18"/>
              </w:rPr>
              <w:softHyphen/>
            </w:r>
            <w:r>
              <w:rPr>
                <w:rFonts w:ascii="Times New Roman" w:hAnsi="Times New Roman" w:eastAsia="宋体" w:cs="Times New Roman"/>
                <w:sz w:val="18"/>
                <w:szCs w:val="18"/>
              </w:rPr>
              <w:softHyphen/>
            </w:r>
            <w:r>
              <w:rPr>
                <w:rFonts w:ascii="Times New Roman" w:hAnsi="Times New Roman" w:eastAsia="宋体" w:cs="Times New Roman"/>
                <w:sz w:val="18"/>
                <w:szCs w:val="18"/>
              </w:rPr>
              <w:t>活动、粮工楼实训场所开放、专题讲座、暑期实践</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品控主管/车间主任培养阶段</w:t>
            </w:r>
          </w:p>
        </w:tc>
        <w:tc>
          <w:tcPr>
            <w:tcW w:w="70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第6学期及工作后1～3</w:t>
            </w:r>
          </w:p>
          <w:p>
            <w:pPr>
              <w:jc w:val="center"/>
              <w:rPr>
                <w:rFonts w:ascii="Times New Roman" w:hAnsi="Times New Roman" w:eastAsia="宋体" w:cs="Times New Roman"/>
                <w:sz w:val="18"/>
                <w:szCs w:val="18"/>
              </w:rPr>
            </w:pPr>
            <w:r>
              <w:rPr>
                <w:rFonts w:ascii="Times New Roman" w:hAnsi="Times New Roman" w:eastAsia="宋体" w:cs="Times New Roman"/>
                <w:sz w:val="18"/>
                <w:szCs w:val="18"/>
              </w:rPr>
              <w:t>年</w:t>
            </w: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岗位适应与经验积累</w:t>
            </w:r>
          </w:p>
        </w:tc>
        <w:tc>
          <w:tcPr>
            <w:tcW w:w="1134" w:type="dxa"/>
            <w:vAlign w:val="center"/>
          </w:tcPr>
          <w:p>
            <w:pPr>
              <w:jc w:val="center"/>
              <w:rPr>
                <w:rFonts w:ascii="Times New Roman" w:hAnsi="Times New Roman" w:eastAsia="宋体" w:cs="Times New Roman"/>
                <w:sz w:val="18"/>
                <w:szCs w:val="18"/>
              </w:rPr>
            </w:pP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粮食食品类企业</w:t>
            </w:r>
          </w:p>
        </w:tc>
        <w:tc>
          <w:tcPr>
            <w:tcW w:w="2268"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顶岗实习</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食品工业类企业和营养健康管理类企业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职业素养与综合职业能力的培养</w:t>
            </w:r>
          </w:p>
        </w:tc>
        <w:tc>
          <w:tcPr>
            <w:tcW w:w="709"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整个学习过程</w:t>
            </w:r>
          </w:p>
        </w:tc>
        <w:tc>
          <w:tcPr>
            <w:tcW w:w="1236"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职业素养与综合职业能力的培养与提高</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所有专业课程</w:t>
            </w:r>
          </w:p>
        </w:tc>
        <w:tc>
          <w:tcPr>
            <w:tcW w:w="113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粮油食品系及顶岗实习企业</w:t>
            </w:r>
          </w:p>
        </w:tc>
        <w:tc>
          <w:tcPr>
            <w:tcW w:w="2268"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1.教学过程中实操规范化培养；</w:t>
            </w:r>
          </w:p>
          <w:p>
            <w:pPr>
              <w:rPr>
                <w:rFonts w:ascii="Times New Roman" w:hAnsi="Times New Roman" w:eastAsia="宋体" w:cs="Times New Roman"/>
                <w:sz w:val="18"/>
                <w:szCs w:val="18"/>
              </w:rPr>
            </w:pPr>
            <w:r>
              <w:rPr>
                <w:rFonts w:ascii="Times New Roman" w:hAnsi="Times New Roman" w:eastAsia="宋体" w:cs="Times New Roman"/>
                <w:sz w:val="18"/>
                <w:szCs w:val="18"/>
              </w:rPr>
              <w:t>2.粮工楼实训场所开放；</w:t>
            </w:r>
          </w:p>
          <w:p>
            <w:pPr>
              <w:rPr>
                <w:rFonts w:ascii="Times New Roman" w:hAnsi="Times New Roman" w:eastAsia="宋体" w:cs="Times New Roman"/>
                <w:sz w:val="18"/>
                <w:szCs w:val="18"/>
              </w:rPr>
            </w:pPr>
            <w:r>
              <w:rPr>
                <w:rFonts w:ascii="Times New Roman" w:hAnsi="Times New Roman" w:eastAsia="宋体" w:cs="Times New Roman"/>
                <w:sz w:val="18"/>
                <w:szCs w:val="18"/>
              </w:rPr>
              <w:t>3.专业社团活动；</w:t>
            </w:r>
          </w:p>
          <w:p>
            <w:pPr>
              <w:rPr>
                <w:rFonts w:ascii="Times New Roman" w:hAnsi="Times New Roman" w:eastAsia="宋体" w:cs="Times New Roman"/>
                <w:sz w:val="18"/>
                <w:szCs w:val="18"/>
              </w:rPr>
            </w:pPr>
            <w:r>
              <w:rPr>
                <w:rFonts w:ascii="Times New Roman" w:hAnsi="Times New Roman" w:eastAsia="宋体" w:cs="Times New Roman"/>
                <w:sz w:val="18"/>
                <w:szCs w:val="18"/>
              </w:rPr>
              <w:t>4.创客空间活动；</w:t>
            </w:r>
          </w:p>
          <w:p>
            <w:pPr>
              <w:rPr>
                <w:rFonts w:ascii="Times New Roman" w:hAnsi="Times New Roman" w:eastAsia="宋体" w:cs="Times New Roman"/>
                <w:sz w:val="18"/>
                <w:szCs w:val="18"/>
              </w:rPr>
            </w:pPr>
            <w:r>
              <w:rPr>
                <w:rFonts w:ascii="Times New Roman" w:hAnsi="Times New Roman" w:eastAsia="宋体" w:cs="Times New Roman"/>
                <w:sz w:val="18"/>
                <w:szCs w:val="18"/>
              </w:rPr>
              <w:t>5.聘请企业专家讲座；</w:t>
            </w:r>
          </w:p>
          <w:p>
            <w:pPr>
              <w:rPr>
                <w:rFonts w:ascii="Times New Roman" w:hAnsi="Times New Roman" w:eastAsia="宋体" w:cs="Times New Roman"/>
                <w:sz w:val="18"/>
                <w:szCs w:val="18"/>
              </w:rPr>
            </w:pPr>
            <w:r>
              <w:rPr>
                <w:rFonts w:ascii="Times New Roman" w:hAnsi="Times New Roman" w:eastAsia="宋体" w:cs="Times New Roman"/>
                <w:sz w:val="18"/>
                <w:szCs w:val="18"/>
              </w:rPr>
              <w:t>6.外出参观；</w:t>
            </w:r>
          </w:p>
          <w:p>
            <w:pPr>
              <w:rPr>
                <w:rFonts w:ascii="Times New Roman" w:hAnsi="Times New Roman" w:eastAsia="宋体" w:cs="Times New Roman"/>
                <w:sz w:val="18"/>
                <w:szCs w:val="18"/>
              </w:rPr>
            </w:pPr>
            <w:r>
              <w:rPr>
                <w:rFonts w:ascii="Times New Roman" w:hAnsi="Times New Roman" w:eastAsia="宋体" w:cs="Times New Roman"/>
                <w:sz w:val="18"/>
                <w:szCs w:val="18"/>
              </w:rPr>
              <w:t>7.暑期实践；</w:t>
            </w:r>
          </w:p>
          <w:p>
            <w:pPr>
              <w:rPr>
                <w:rFonts w:ascii="Times New Roman" w:hAnsi="Times New Roman" w:eastAsia="宋体" w:cs="Times New Roman"/>
                <w:sz w:val="18"/>
                <w:szCs w:val="18"/>
              </w:rPr>
            </w:pPr>
            <w:r>
              <w:rPr>
                <w:rFonts w:ascii="Times New Roman" w:hAnsi="Times New Roman" w:eastAsia="宋体" w:cs="Times New Roman"/>
                <w:sz w:val="18"/>
                <w:szCs w:val="18"/>
              </w:rPr>
              <w:t>8.职业生涯规划</w:t>
            </w:r>
          </w:p>
        </w:tc>
        <w:tc>
          <w:tcPr>
            <w:tcW w:w="89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粮油食品系及顶岗实习企业</w:t>
            </w:r>
          </w:p>
        </w:tc>
      </w:tr>
    </w:tbl>
    <w:p>
      <w:pPr>
        <w:pStyle w:val="24"/>
        <w:rPr>
          <w:rFonts w:ascii="宋体" w:hAnsi="宋体" w:eastAsia="宋体"/>
          <w:bCs/>
        </w:rPr>
      </w:pPr>
    </w:p>
    <w:p>
      <w:pPr>
        <w:pStyle w:val="24"/>
        <w:rPr>
          <w:rFonts w:ascii="宋体" w:hAnsi="宋体" w:eastAsia="宋体"/>
          <w:bCs/>
        </w:rPr>
      </w:pPr>
      <w:r>
        <w:rPr>
          <w:rFonts w:hint="eastAsia" w:ascii="宋体" w:hAnsi="宋体" w:eastAsia="宋体"/>
          <w:bCs/>
        </w:rPr>
        <w:t>（二）制度保障</w:t>
      </w:r>
    </w:p>
    <w:p>
      <w:pPr>
        <w:snapToGrid w:val="0"/>
        <w:spacing w:line="380" w:lineRule="exact"/>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snapToGrid w:val="0"/>
        <w:spacing w:line="380" w:lineRule="exact"/>
        <w:ind w:firstLine="482" w:firstLineChars="200"/>
        <w:outlineLvl w:val="0"/>
        <w:rPr>
          <w:rFonts w:ascii="宋体" w:hAnsi="宋体" w:eastAsia="宋体"/>
          <w:b/>
          <w:sz w:val="24"/>
        </w:rPr>
      </w:pPr>
      <w:bookmarkStart w:id="8"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8"/>
    </w:p>
    <w:p>
      <w:pPr>
        <w:snapToGrid w:val="0"/>
        <w:spacing w:line="380" w:lineRule="exact"/>
        <w:ind w:firstLine="420" w:firstLineChars="200"/>
        <w:outlineLvl w:val="0"/>
        <w:rPr>
          <w:rFonts w:ascii="宋体" w:hAnsi="宋体" w:eastAsia="宋体"/>
          <w:szCs w:val="21"/>
        </w:rPr>
      </w:pPr>
      <w:bookmarkStart w:id="9" w:name="_Toc327706756"/>
      <w:r>
        <w:rPr>
          <w:rFonts w:hint="eastAsia" w:ascii="宋体" w:hAnsi="宋体" w:eastAsia="宋体"/>
          <w:szCs w:val="21"/>
        </w:rPr>
        <w:t>学生必须修满163</w:t>
      </w:r>
      <w:r>
        <w:rPr>
          <w:rFonts w:ascii="宋体" w:hAnsi="宋体" w:eastAsia="宋体"/>
          <w:szCs w:val="21"/>
        </w:rPr>
        <w:t>分，所有课程全部考核合格，并参加完成半年顶岗实习方可准许毕业。</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9"/>
    </w:p>
    <w:p>
      <w:pPr>
        <w:snapToGrid w:val="0"/>
        <w:jc w:val="center"/>
        <w:rPr>
          <w:rFonts w:ascii="宋体" w:hAnsi="宋体" w:eastAsia="宋体"/>
          <w:b/>
          <w:szCs w:val="21"/>
        </w:rPr>
      </w:pPr>
    </w:p>
    <w:p>
      <w:pPr>
        <w:snapToGrid w:val="0"/>
        <w:jc w:val="center"/>
        <w:rPr>
          <w:rFonts w:ascii="宋体" w:hAnsi="宋体" w:eastAsia="宋体"/>
          <w:sz w:val="18"/>
          <w:szCs w:val="18"/>
        </w:rPr>
      </w:pPr>
      <w:r>
        <w:rPr>
          <w:rFonts w:hint="eastAsia" w:ascii="宋体" w:hAnsi="宋体" w:eastAsia="宋体"/>
          <w:b/>
          <w:sz w:val="18"/>
          <w:szCs w:val="18"/>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378"/>
        <w:gridCol w:w="704"/>
        <w:gridCol w:w="976"/>
        <w:gridCol w:w="760"/>
        <w:gridCol w:w="1771"/>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序号</w:t>
            </w:r>
          </w:p>
        </w:tc>
        <w:tc>
          <w:tcPr>
            <w:tcW w:w="821"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姓名</w:t>
            </w:r>
          </w:p>
        </w:tc>
        <w:tc>
          <w:tcPr>
            <w:tcW w:w="2378"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单位</w:t>
            </w:r>
          </w:p>
        </w:tc>
        <w:tc>
          <w:tcPr>
            <w:tcW w:w="704"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职称</w:t>
            </w:r>
          </w:p>
        </w:tc>
        <w:tc>
          <w:tcPr>
            <w:tcW w:w="976"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职务</w:t>
            </w:r>
          </w:p>
        </w:tc>
        <w:tc>
          <w:tcPr>
            <w:tcW w:w="760" w:type="dxa"/>
            <w:vMerge w:val="restart"/>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委员会</w:t>
            </w:r>
          </w:p>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职务</w:t>
            </w:r>
          </w:p>
        </w:tc>
        <w:tc>
          <w:tcPr>
            <w:tcW w:w="3014"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821"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2378"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704"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760" w:type="dxa"/>
            <w:vMerge w:val="continue"/>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1771" w:type="dxa"/>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电子邮件</w:t>
            </w:r>
          </w:p>
        </w:tc>
        <w:tc>
          <w:tcPr>
            <w:tcW w:w="1243" w:type="dxa"/>
            <w:shd w:val="clear" w:color="auto" w:fill="FFFFFF"/>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刘成梅</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南昌大学</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教授</w:t>
            </w: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副校长</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主任</w:t>
            </w:r>
          </w:p>
        </w:tc>
        <w:tc>
          <w:tcPr>
            <w:tcW w:w="1771" w:type="dxa"/>
            <w:vAlign w:val="center"/>
          </w:tcPr>
          <w:p>
            <w:pPr>
              <w:tabs>
                <w:tab w:val="left" w:pos="900"/>
              </w:tabs>
              <w:snapToGrid w:val="0"/>
              <w:spacing w:line="360" w:lineRule="exact"/>
              <w:rPr>
                <w:rFonts w:ascii="Times New Roman" w:hAnsi="Times New Roman" w:eastAsia="宋体" w:cs="Times New Roman"/>
                <w:bCs/>
                <w:sz w:val="18"/>
                <w:szCs w:val="18"/>
              </w:rPr>
            </w:pPr>
            <w:r>
              <w:rPr>
                <w:rFonts w:ascii="Times New Roman" w:hAnsi="Times New Roman" w:eastAsia="宋体" w:cs="Times New Roman"/>
                <w:bCs/>
                <w:sz w:val="18"/>
                <w:szCs w:val="18"/>
              </w:rPr>
              <w:t>916504978@qq.com</w:t>
            </w:r>
          </w:p>
        </w:tc>
        <w:tc>
          <w:tcPr>
            <w:tcW w:w="1243" w:type="dxa"/>
            <w:vAlign w:val="center"/>
          </w:tcPr>
          <w:p>
            <w:pPr>
              <w:tabs>
                <w:tab w:val="left" w:pos="900"/>
              </w:tabs>
              <w:snapToGrid w:val="0"/>
              <w:spacing w:line="360" w:lineRule="exact"/>
              <w:rPr>
                <w:rFonts w:ascii="Times New Roman" w:hAnsi="Times New Roman" w:eastAsia="宋体" w:cs="Times New Roman"/>
                <w:bCs/>
                <w:sz w:val="18"/>
                <w:szCs w:val="18"/>
              </w:rPr>
            </w:pPr>
            <w:r>
              <w:rPr>
                <w:rFonts w:ascii="Times New Roman" w:hAnsi="Times New Roman" w:eastAsia="宋体" w:cs="Times New Roman"/>
                <w:bCs/>
                <w:sz w:val="18"/>
                <w:szCs w:val="18"/>
              </w:rPr>
              <w:t>13907000850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雷筱芬</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江西工业贸易职业技术学院</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教授</w:t>
            </w: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院长</w:t>
            </w:r>
          </w:p>
        </w:tc>
        <w:tc>
          <w:tcPr>
            <w:tcW w:w="760" w:type="dxa"/>
            <w:vAlign w:val="center"/>
          </w:tcPr>
          <w:p>
            <w:pPr>
              <w:spacing w:line="400" w:lineRule="exact"/>
              <w:rPr>
                <w:rFonts w:ascii="Times New Roman" w:hAnsi="Times New Roman" w:eastAsia="宋体" w:cs="Times New Roman"/>
                <w:bCs/>
                <w:sz w:val="18"/>
                <w:szCs w:val="18"/>
              </w:rPr>
            </w:pPr>
            <w:r>
              <w:rPr>
                <w:rFonts w:hint="eastAsia" w:ascii="Times New Roman" w:hAnsi="Times New Roman" w:eastAsia="宋体" w:cs="Times New Roman"/>
                <w:bCs/>
                <w:sz w:val="18"/>
                <w:szCs w:val="18"/>
              </w:rPr>
              <w:t>副主任</w:t>
            </w:r>
          </w:p>
        </w:tc>
        <w:tc>
          <w:tcPr>
            <w:tcW w:w="1771" w:type="dxa"/>
            <w:vAlign w:val="center"/>
          </w:tcPr>
          <w:p>
            <w:pPr>
              <w:spacing w:line="400" w:lineRule="exact"/>
              <w:rPr>
                <w:rFonts w:ascii="Times New Roman" w:hAnsi="Times New Roman" w:eastAsia="宋体" w:cs="Times New Roman"/>
                <w:bCs/>
                <w:sz w:val="18"/>
                <w:szCs w:val="18"/>
              </w:rPr>
            </w:pPr>
            <w:r>
              <w:rPr>
                <w:rFonts w:ascii="Times New Roman" w:hAnsi="Times New Roman" w:eastAsia="宋体" w:cs="Times New Roman"/>
                <w:bCs/>
                <w:sz w:val="18"/>
                <w:szCs w:val="18"/>
              </w:rPr>
              <w:t>121223348@qq.com</w:t>
            </w:r>
          </w:p>
        </w:tc>
        <w:tc>
          <w:tcPr>
            <w:tcW w:w="1243" w:type="dxa"/>
            <w:vAlign w:val="center"/>
          </w:tcPr>
          <w:p>
            <w:pPr>
              <w:spacing w:line="400" w:lineRule="exact"/>
              <w:rPr>
                <w:rFonts w:ascii="Times New Roman" w:hAnsi="Times New Roman" w:eastAsia="宋体" w:cs="Times New Roman"/>
                <w:bCs/>
                <w:sz w:val="18"/>
                <w:szCs w:val="18"/>
              </w:rPr>
            </w:pPr>
            <w:r>
              <w:rPr>
                <w:rFonts w:ascii="Times New Roman" w:hAnsi="Times New Roman" w:eastAsia="宋体" w:cs="Times New Roman"/>
                <w:sz w:val="18"/>
                <w:szCs w:val="18"/>
              </w:rPr>
              <w:t>13576995353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刘晶磊</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江西省分析测试中心</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所长</w:t>
            </w:r>
          </w:p>
        </w:tc>
        <w:tc>
          <w:tcPr>
            <w:tcW w:w="760" w:type="dxa"/>
            <w:vAlign w:val="center"/>
          </w:tcPr>
          <w:p>
            <w:pPr>
              <w:spacing w:line="40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副主任</w:t>
            </w:r>
          </w:p>
        </w:tc>
        <w:tc>
          <w:tcPr>
            <w:tcW w:w="1771" w:type="dxa"/>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2652737529@qq.com</w:t>
            </w:r>
          </w:p>
        </w:tc>
        <w:tc>
          <w:tcPr>
            <w:tcW w:w="1243"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13870875160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郭振</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江西九州检测检验有限公司</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总监</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765375225@qq.com</w:t>
            </w:r>
          </w:p>
        </w:tc>
        <w:tc>
          <w:tcPr>
            <w:tcW w:w="1243"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13870610689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李广焱</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南昌同心紫巢生物工程有限公司</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质量部</w:t>
            </w:r>
          </w:p>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经理</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853066130@qq.com</w:t>
            </w:r>
          </w:p>
        </w:tc>
        <w:tc>
          <w:tcPr>
            <w:tcW w:w="1243"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13007218200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陈雄英</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南昌好利来食品有限公司</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品控主管</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widowControl/>
              <w:rPr>
                <w:rFonts w:ascii="Times New Roman" w:hAnsi="Times New Roman" w:eastAsia="宋体" w:cs="Times New Roman"/>
                <w:sz w:val="18"/>
                <w:szCs w:val="18"/>
              </w:rPr>
            </w:pPr>
            <w:r>
              <w:rPr>
                <w:rFonts w:ascii="Times New Roman" w:hAnsi="Times New Roman" w:eastAsia="宋体" w:cs="Times New Roman"/>
                <w:sz w:val="18"/>
                <w:szCs w:val="18"/>
              </w:rPr>
              <w:t>675066923@qq.com</w:t>
            </w:r>
          </w:p>
        </w:tc>
        <w:tc>
          <w:tcPr>
            <w:tcW w:w="1243"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13077952997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余兴苑</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hint="eastAsia" w:ascii="宋体" w:hAnsi="宋体" w:eastAsia="宋体" w:cs="宋体"/>
                <w:bCs/>
                <w:sz w:val="18"/>
                <w:szCs w:val="18"/>
              </w:rPr>
              <w:t>营动智能科技有限公司</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总经理</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114665243@qq.com</w:t>
            </w:r>
          </w:p>
        </w:tc>
        <w:tc>
          <w:tcPr>
            <w:tcW w:w="1243"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15979011777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刘玉珍</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江西工业贸易职业技术学院</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讲师</w:t>
            </w: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hint="eastAsia" w:ascii="宋体" w:hAnsi="宋体" w:eastAsia="宋体" w:cs="宋体"/>
                <w:bCs/>
                <w:sz w:val="18"/>
                <w:szCs w:val="18"/>
              </w:rPr>
              <w:t>分管系部教学</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spacing w:line="400" w:lineRule="exact"/>
              <w:rPr>
                <w:rFonts w:ascii="Times New Roman" w:hAnsi="Times New Roman" w:eastAsia="宋体" w:cs="Times New Roman"/>
                <w:bCs/>
                <w:sz w:val="18"/>
                <w:szCs w:val="18"/>
              </w:rPr>
            </w:pPr>
            <w:r>
              <w:rPr>
                <w:rFonts w:ascii="Times New Roman" w:hAnsi="Times New Roman" w:eastAsia="宋体" w:cs="Times New Roman"/>
                <w:bCs/>
                <w:sz w:val="18"/>
                <w:szCs w:val="18"/>
              </w:rPr>
              <w:t>297328381@qq.com</w:t>
            </w:r>
          </w:p>
        </w:tc>
        <w:tc>
          <w:tcPr>
            <w:tcW w:w="1243" w:type="dxa"/>
            <w:vAlign w:val="center"/>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13407917075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821"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曾妮</w:t>
            </w:r>
          </w:p>
        </w:tc>
        <w:tc>
          <w:tcPr>
            <w:tcW w:w="2378"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江西工业贸易职业技术学院</w:t>
            </w:r>
          </w:p>
        </w:tc>
        <w:tc>
          <w:tcPr>
            <w:tcW w:w="704"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讲师</w:t>
            </w:r>
          </w:p>
        </w:tc>
        <w:tc>
          <w:tcPr>
            <w:tcW w:w="976" w:type="dxa"/>
            <w:vAlign w:val="center"/>
          </w:tcPr>
          <w:p>
            <w:pPr>
              <w:tabs>
                <w:tab w:val="left" w:pos="900"/>
              </w:tabs>
              <w:snapToGrid w:val="0"/>
              <w:spacing w:line="360" w:lineRule="exact"/>
              <w:jc w:val="center"/>
              <w:rPr>
                <w:rFonts w:ascii="Times New Roman" w:hAnsi="Times New Roman" w:eastAsia="宋体" w:cs="Times New Roman"/>
                <w:bCs/>
                <w:sz w:val="18"/>
                <w:szCs w:val="18"/>
              </w:rPr>
            </w:pPr>
            <w:r>
              <w:rPr>
                <w:rFonts w:hint="eastAsia" w:ascii="Times New Roman" w:hAnsi="Times New Roman" w:eastAsia="宋体" w:cs="Times New Roman"/>
                <w:bCs/>
                <w:sz w:val="18"/>
                <w:szCs w:val="18"/>
              </w:rPr>
              <w:t>教师</w:t>
            </w:r>
          </w:p>
        </w:tc>
        <w:tc>
          <w:tcPr>
            <w:tcW w:w="760" w:type="dxa"/>
            <w:vAlign w:val="center"/>
          </w:tcPr>
          <w:p>
            <w:pPr>
              <w:spacing w:line="400" w:lineRule="exact"/>
              <w:jc w:val="center"/>
              <w:rPr>
                <w:rFonts w:ascii="Times New Roman" w:hAnsi="Times New Roman" w:eastAsia="宋体" w:cs="Times New Roman"/>
                <w:bCs/>
                <w:sz w:val="18"/>
                <w:szCs w:val="18"/>
              </w:rPr>
            </w:pPr>
            <w:r>
              <w:rPr>
                <w:rFonts w:ascii="Times New Roman" w:hAnsi="Times New Roman" w:eastAsia="宋体" w:cs="Times New Roman"/>
                <w:bCs/>
                <w:sz w:val="18"/>
                <w:szCs w:val="18"/>
              </w:rPr>
              <w:t>委员</w:t>
            </w:r>
          </w:p>
        </w:tc>
        <w:tc>
          <w:tcPr>
            <w:tcW w:w="1771" w:type="dxa"/>
            <w:vAlign w:val="center"/>
          </w:tcPr>
          <w:p>
            <w:pPr>
              <w:spacing w:line="400" w:lineRule="exact"/>
              <w:rPr>
                <w:rFonts w:ascii="Times New Roman" w:hAnsi="Times New Roman" w:eastAsia="宋体" w:cs="Times New Roman"/>
                <w:bCs/>
                <w:sz w:val="18"/>
                <w:szCs w:val="18"/>
              </w:rPr>
            </w:pPr>
            <w:r>
              <w:rPr>
                <w:rFonts w:ascii="Times New Roman" w:hAnsi="Times New Roman" w:eastAsia="宋体" w:cs="Times New Roman"/>
                <w:bCs/>
                <w:sz w:val="18"/>
                <w:szCs w:val="18"/>
              </w:rPr>
              <w:t>986436331@qq.com</w:t>
            </w:r>
          </w:p>
        </w:tc>
        <w:tc>
          <w:tcPr>
            <w:tcW w:w="1243" w:type="dxa"/>
            <w:vAlign w:val="center"/>
          </w:tcPr>
          <w:p>
            <w:pPr>
              <w:spacing w:line="400" w:lineRule="exact"/>
              <w:rPr>
                <w:rFonts w:ascii="Times New Roman" w:hAnsi="Times New Roman" w:eastAsia="宋体" w:cs="Times New Roman"/>
                <w:sz w:val="18"/>
                <w:szCs w:val="18"/>
              </w:rPr>
            </w:pPr>
            <w:r>
              <w:rPr>
                <w:rFonts w:ascii="Times New Roman" w:hAnsi="Times New Roman" w:eastAsia="宋体" w:cs="Times New Roman"/>
                <w:sz w:val="18"/>
                <w:szCs w:val="18"/>
              </w:rPr>
              <w:t>15170071552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821"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陈慧英</w:t>
            </w:r>
          </w:p>
        </w:tc>
        <w:tc>
          <w:tcPr>
            <w:tcW w:w="2378" w:type="dxa"/>
            <w:vAlign w:val="center"/>
          </w:tcPr>
          <w:p>
            <w:pPr>
              <w:rPr>
                <w:rFonts w:ascii="Times New Roman" w:hAnsi="Times New Roman" w:eastAsia="宋体" w:cs="Times New Roman"/>
                <w:bCs/>
                <w:sz w:val="18"/>
                <w:szCs w:val="18"/>
              </w:rPr>
            </w:pPr>
            <w:r>
              <w:rPr>
                <w:rFonts w:ascii="Times New Roman" w:hAnsi="Times New Roman" w:eastAsia="宋体" w:cs="Times New Roman"/>
                <w:bCs/>
                <w:sz w:val="18"/>
                <w:szCs w:val="18"/>
              </w:rPr>
              <w:t>江西工业贸易职业技术学院</w:t>
            </w:r>
          </w:p>
        </w:tc>
        <w:tc>
          <w:tcPr>
            <w:tcW w:w="70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讲师</w:t>
            </w:r>
          </w:p>
        </w:tc>
        <w:tc>
          <w:tcPr>
            <w:tcW w:w="976" w:type="dxa"/>
            <w:vAlign w:val="center"/>
          </w:tcPr>
          <w:p>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教师</w:t>
            </w:r>
          </w:p>
        </w:tc>
        <w:tc>
          <w:tcPr>
            <w:tcW w:w="760"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委员</w:t>
            </w:r>
          </w:p>
        </w:tc>
        <w:tc>
          <w:tcPr>
            <w:tcW w:w="1771"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735841716@qq.com</w:t>
            </w:r>
          </w:p>
        </w:tc>
        <w:tc>
          <w:tcPr>
            <w:tcW w:w="1243"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13155811303</w:t>
            </w:r>
          </w:p>
        </w:tc>
      </w:tr>
    </w:tbl>
    <w:p>
      <w:pPr>
        <w:rPr>
          <w:rFonts w:ascii="宋体" w:hAnsi="宋体" w:eastAsia="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- 28 -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- 28 -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7313837"/>
    <w:multiLevelType w:val="singleLevel"/>
    <w:tmpl w:val="57313837"/>
    <w:lvl w:ilvl="0" w:tentative="0">
      <w:start w:val="1"/>
      <w:numFmt w:val="chineseCounting"/>
      <w:suff w:val="nothing"/>
      <w:lvlText w:val="（%1）"/>
      <w:lvlJc w:val="left"/>
    </w:lvl>
  </w:abstractNum>
  <w:abstractNum w:abstractNumId="3">
    <w:nsid w:val="592E2EE5"/>
    <w:multiLevelType w:val="singleLevel"/>
    <w:tmpl w:val="592E2EE5"/>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355"/>
    <w:rsid w:val="00034AA9"/>
    <w:rsid w:val="00037F68"/>
    <w:rsid w:val="00044DA2"/>
    <w:rsid w:val="00046922"/>
    <w:rsid w:val="00061076"/>
    <w:rsid w:val="000643BF"/>
    <w:rsid w:val="000721FF"/>
    <w:rsid w:val="00077817"/>
    <w:rsid w:val="00077E66"/>
    <w:rsid w:val="00082BA3"/>
    <w:rsid w:val="000908E8"/>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2A99"/>
    <w:rsid w:val="00254601"/>
    <w:rsid w:val="00254F66"/>
    <w:rsid w:val="002605AA"/>
    <w:rsid w:val="00263512"/>
    <w:rsid w:val="00263BC9"/>
    <w:rsid w:val="00277CE7"/>
    <w:rsid w:val="002828C0"/>
    <w:rsid w:val="0028354D"/>
    <w:rsid w:val="0028433C"/>
    <w:rsid w:val="00294A38"/>
    <w:rsid w:val="00297B63"/>
    <w:rsid w:val="002A3226"/>
    <w:rsid w:val="002A3F76"/>
    <w:rsid w:val="002A500D"/>
    <w:rsid w:val="002A6A1E"/>
    <w:rsid w:val="002B1D68"/>
    <w:rsid w:val="002B5068"/>
    <w:rsid w:val="002B66A0"/>
    <w:rsid w:val="002B6B88"/>
    <w:rsid w:val="002C2AE6"/>
    <w:rsid w:val="002C44F6"/>
    <w:rsid w:val="002C5925"/>
    <w:rsid w:val="002C5CC4"/>
    <w:rsid w:val="002D0373"/>
    <w:rsid w:val="002D0A09"/>
    <w:rsid w:val="002D62B2"/>
    <w:rsid w:val="002D7BC9"/>
    <w:rsid w:val="002E0F64"/>
    <w:rsid w:val="002E1C76"/>
    <w:rsid w:val="002E2584"/>
    <w:rsid w:val="002F0094"/>
    <w:rsid w:val="002F1984"/>
    <w:rsid w:val="002F1CA4"/>
    <w:rsid w:val="002F5584"/>
    <w:rsid w:val="003045F4"/>
    <w:rsid w:val="003061B6"/>
    <w:rsid w:val="003078A6"/>
    <w:rsid w:val="00310D1B"/>
    <w:rsid w:val="0031408E"/>
    <w:rsid w:val="0031526F"/>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380D"/>
    <w:rsid w:val="003A644B"/>
    <w:rsid w:val="003C4474"/>
    <w:rsid w:val="003D5C9A"/>
    <w:rsid w:val="003D7F72"/>
    <w:rsid w:val="003E3774"/>
    <w:rsid w:val="003E60FE"/>
    <w:rsid w:val="003E70B3"/>
    <w:rsid w:val="003F47B0"/>
    <w:rsid w:val="003F6869"/>
    <w:rsid w:val="003F711B"/>
    <w:rsid w:val="003F73E6"/>
    <w:rsid w:val="004019AA"/>
    <w:rsid w:val="00405019"/>
    <w:rsid w:val="004058A7"/>
    <w:rsid w:val="00407BB0"/>
    <w:rsid w:val="00411A54"/>
    <w:rsid w:val="00411B78"/>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B3DC6"/>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40F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5680"/>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20"/>
    <w:rsid w:val="00716EAB"/>
    <w:rsid w:val="00722200"/>
    <w:rsid w:val="0072316A"/>
    <w:rsid w:val="007250EA"/>
    <w:rsid w:val="007272E7"/>
    <w:rsid w:val="00740F31"/>
    <w:rsid w:val="00742582"/>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45BE2"/>
    <w:rsid w:val="00952845"/>
    <w:rsid w:val="00960BEB"/>
    <w:rsid w:val="00962C9B"/>
    <w:rsid w:val="00965823"/>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5195"/>
    <w:rsid w:val="009C6210"/>
    <w:rsid w:val="009D0F41"/>
    <w:rsid w:val="009D17A0"/>
    <w:rsid w:val="009D2921"/>
    <w:rsid w:val="009D3E98"/>
    <w:rsid w:val="009D4541"/>
    <w:rsid w:val="009D5A67"/>
    <w:rsid w:val="009D6BDB"/>
    <w:rsid w:val="009E1610"/>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2668"/>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97909"/>
    <w:rsid w:val="00AA3FC4"/>
    <w:rsid w:val="00AA4181"/>
    <w:rsid w:val="00AA4DA7"/>
    <w:rsid w:val="00AB22AF"/>
    <w:rsid w:val="00AC2897"/>
    <w:rsid w:val="00AC6052"/>
    <w:rsid w:val="00AD1D81"/>
    <w:rsid w:val="00AD3EA0"/>
    <w:rsid w:val="00AE0711"/>
    <w:rsid w:val="00AE2A55"/>
    <w:rsid w:val="00AF688C"/>
    <w:rsid w:val="00AF6BCB"/>
    <w:rsid w:val="00B05A73"/>
    <w:rsid w:val="00B063E9"/>
    <w:rsid w:val="00B06873"/>
    <w:rsid w:val="00B109BA"/>
    <w:rsid w:val="00B10C51"/>
    <w:rsid w:val="00B1316D"/>
    <w:rsid w:val="00B13429"/>
    <w:rsid w:val="00B1342D"/>
    <w:rsid w:val="00B21F65"/>
    <w:rsid w:val="00B2214D"/>
    <w:rsid w:val="00B254B0"/>
    <w:rsid w:val="00B2643D"/>
    <w:rsid w:val="00B34136"/>
    <w:rsid w:val="00B341FB"/>
    <w:rsid w:val="00B35F65"/>
    <w:rsid w:val="00B36D8D"/>
    <w:rsid w:val="00B377F8"/>
    <w:rsid w:val="00B40C4D"/>
    <w:rsid w:val="00B45AE8"/>
    <w:rsid w:val="00B5044F"/>
    <w:rsid w:val="00B5271D"/>
    <w:rsid w:val="00B5398E"/>
    <w:rsid w:val="00B60506"/>
    <w:rsid w:val="00B60F54"/>
    <w:rsid w:val="00B6559D"/>
    <w:rsid w:val="00B65DE4"/>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E12EA"/>
    <w:rsid w:val="00BF27B2"/>
    <w:rsid w:val="00BF5C25"/>
    <w:rsid w:val="00BF77E0"/>
    <w:rsid w:val="00C0067C"/>
    <w:rsid w:val="00C0435F"/>
    <w:rsid w:val="00C06FE8"/>
    <w:rsid w:val="00C10603"/>
    <w:rsid w:val="00C15169"/>
    <w:rsid w:val="00C20C09"/>
    <w:rsid w:val="00C3375E"/>
    <w:rsid w:val="00C41B60"/>
    <w:rsid w:val="00C4491B"/>
    <w:rsid w:val="00C453CA"/>
    <w:rsid w:val="00C463C7"/>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C7A63"/>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966C9"/>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EF7ADA"/>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A70DF"/>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4C26BA8"/>
    <w:rsid w:val="056B42F1"/>
    <w:rsid w:val="068B4749"/>
    <w:rsid w:val="075E5DA6"/>
    <w:rsid w:val="07610F29"/>
    <w:rsid w:val="078636E7"/>
    <w:rsid w:val="07C147C6"/>
    <w:rsid w:val="08A23EAA"/>
    <w:rsid w:val="08A460BD"/>
    <w:rsid w:val="08B872DC"/>
    <w:rsid w:val="08C452ED"/>
    <w:rsid w:val="09627775"/>
    <w:rsid w:val="096C0084"/>
    <w:rsid w:val="0AC85185"/>
    <w:rsid w:val="0B12303C"/>
    <w:rsid w:val="0BAA2164"/>
    <w:rsid w:val="0BF409A8"/>
    <w:rsid w:val="0C410AA7"/>
    <w:rsid w:val="0C43782D"/>
    <w:rsid w:val="0C836418"/>
    <w:rsid w:val="0CBF7CF5"/>
    <w:rsid w:val="0DCB4504"/>
    <w:rsid w:val="0E0B73DA"/>
    <w:rsid w:val="0F4B55A7"/>
    <w:rsid w:val="0FC4342B"/>
    <w:rsid w:val="106D3263"/>
    <w:rsid w:val="10B81EFA"/>
    <w:rsid w:val="116A1D1E"/>
    <w:rsid w:val="11A13974"/>
    <w:rsid w:val="11D007C9"/>
    <w:rsid w:val="11F41C82"/>
    <w:rsid w:val="132135EE"/>
    <w:rsid w:val="1635647F"/>
    <w:rsid w:val="183E0A52"/>
    <w:rsid w:val="18403F55"/>
    <w:rsid w:val="184B5B6A"/>
    <w:rsid w:val="18687698"/>
    <w:rsid w:val="188F4E61"/>
    <w:rsid w:val="191861B7"/>
    <w:rsid w:val="194A7C8B"/>
    <w:rsid w:val="197D395D"/>
    <w:rsid w:val="19EC5296"/>
    <w:rsid w:val="1A140C40"/>
    <w:rsid w:val="1BF91AF2"/>
    <w:rsid w:val="1C186B24"/>
    <w:rsid w:val="1C561E8C"/>
    <w:rsid w:val="1C92426F"/>
    <w:rsid w:val="1D6B3F53"/>
    <w:rsid w:val="1E3246CE"/>
    <w:rsid w:val="1F4A3163"/>
    <w:rsid w:val="20AB78A8"/>
    <w:rsid w:val="20F65179"/>
    <w:rsid w:val="21836286"/>
    <w:rsid w:val="25B9457A"/>
    <w:rsid w:val="271839FA"/>
    <w:rsid w:val="27B1421B"/>
    <w:rsid w:val="27B2482C"/>
    <w:rsid w:val="286F5EE4"/>
    <w:rsid w:val="28F07737"/>
    <w:rsid w:val="28F519C1"/>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3C48F6"/>
    <w:rsid w:val="34860FB8"/>
    <w:rsid w:val="34D15BB4"/>
    <w:rsid w:val="356928AF"/>
    <w:rsid w:val="370B41DA"/>
    <w:rsid w:val="375B525D"/>
    <w:rsid w:val="387D663A"/>
    <w:rsid w:val="395C6D54"/>
    <w:rsid w:val="3A3A1E13"/>
    <w:rsid w:val="3A6B5E65"/>
    <w:rsid w:val="3B9001C6"/>
    <w:rsid w:val="3BCD002B"/>
    <w:rsid w:val="3C3963CB"/>
    <w:rsid w:val="3C4B08F9"/>
    <w:rsid w:val="3C815550"/>
    <w:rsid w:val="3CC86FC9"/>
    <w:rsid w:val="3CD91462"/>
    <w:rsid w:val="3CF604FD"/>
    <w:rsid w:val="3D9B1520"/>
    <w:rsid w:val="3E9165B5"/>
    <w:rsid w:val="3F4E21EB"/>
    <w:rsid w:val="3F584CF9"/>
    <w:rsid w:val="3FBC6C6F"/>
    <w:rsid w:val="40094B1C"/>
    <w:rsid w:val="406477B5"/>
    <w:rsid w:val="412D13FC"/>
    <w:rsid w:val="41A20B18"/>
    <w:rsid w:val="41B75ADD"/>
    <w:rsid w:val="42022C9F"/>
    <w:rsid w:val="422C131F"/>
    <w:rsid w:val="42931FC8"/>
    <w:rsid w:val="42E94F55"/>
    <w:rsid w:val="43B533A4"/>
    <w:rsid w:val="44934F90"/>
    <w:rsid w:val="44ED6924"/>
    <w:rsid w:val="456E0177"/>
    <w:rsid w:val="46064E72"/>
    <w:rsid w:val="469E62EA"/>
    <w:rsid w:val="46F66801"/>
    <w:rsid w:val="46F91E7C"/>
    <w:rsid w:val="46FD6304"/>
    <w:rsid w:val="47C22BCA"/>
    <w:rsid w:val="48212BE3"/>
    <w:rsid w:val="48942F22"/>
    <w:rsid w:val="48970623"/>
    <w:rsid w:val="48C466A3"/>
    <w:rsid w:val="49A11373"/>
    <w:rsid w:val="4A81724A"/>
    <w:rsid w:val="4C7D7F89"/>
    <w:rsid w:val="4C804791"/>
    <w:rsid w:val="4CC10640"/>
    <w:rsid w:val="4D327A4C"/>
    <w:rsid w:val="4DE02AA8"/>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EF430D7"/>
    <w:rsid w:val="5F01496B"/>
    <w:rsid w:val="5F547063"/>
    <w:rsid w:val="5FB9411A"/>
    <w:rsid w:val="605373D3"/>
    <w:rsid w:val="60CC5F09"/>
    <w:rsid w:val="60E24E81"/>
    <w:rsid w:val="6138200C"/>
    <w:rsid w:val="6165287C"/>
    <w:rsid w:val="624C1ED5"/>
    <w:rsid w:val="62C75F9B"/>
    <w:rsid w:val="63515EFF"/>
    <w:rsid w:val="63B32720"/>
    <w:rsid w:val="63CD32CA"/>
    <w:rsid w:val="645E4DB7"/>
    <w:rsid w:val="65472B37"/>
    <w:rsid w:val="670A5C9B"/>
    <w:rsid w:val="67D5446A"/>
    <w:rsid w:val="6B47278C"/>
    <w:rsid w:val="6B4C119F"/>
    <w:rsid w:val="6CE547B7"/>
    <w:rsid w:val="6D222742"/>
    <w:rsid w:val="6E2241BE"/>
    <w:rsid w:val="6EFD73A5"/>
    <w:rsid w:val="6FF675BD"/>
    <w:rsid w:val="70901DCC"/>
    <w:rsid w:val="71205DA5"/>
    <w:rsid w:val="713D3157"/>
    <w:rsid w:val="717D50CE"/>
    <w:rsid w:val="71B11EC6"/>
    <w:rsid w:val="71B5409B"/>
    <w:rsid w:val="72610BC3"/>
    <w:rsid w:val="7277735C"/>
    <w:rsid w:val="735018BD"/>
    <w:rsid w:val="75076A10"/>
    <w:rsid w:val="753E5865"/>
    <w:rsid w:val="75442FF2"/>
    <w:rsid w:val="75772547"/>
    <w:rsid w:val="767943B3"/>
    <w:rsid w:val="77F65DDE"/>
    <w:rsid w:val="78152E10"/>
    <w:rsid w:val="783A3050"/>
    <w:rsid w:val="7905019A"/>
    <w:rsid w:val="7B3A48B6"/>
    <w:rsid w:val="7B67607F"/>
    <w:rsid w:val="7B9E6F01"/>
    <w:rsid w:val="7C3C31DF"/>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uiPriority w:val="0"/>
    <w:pPr>
      <w:spacing w:after="120"/>
    </w:pPr>
    <w:rPr>
      <w:sz w:val="16"/>
      <w:szCs w:val="16"/>
    </w:rPr>
  </w:style>
  <w:style w:type="paragraph" w:styleId="5">
    <w:name w:val="Body Text Indent"/>
    <w:basedOn w:val="1"/>
    <w:link w:val="22"/>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uiPriority w:val="0"/>
  </w:style>
  <w:style w:type="character" w:styleId="17">
    <w:name w:val="annotation reference"/>
    <w:unhideWhenUsed/>
    <w:uiPriority w:val="99"/>
    <w:rPr>
      <w:sz w:val="21"/>
      <w:szCs w:val="21"/>
    </w:rPr>
  </w:style>
  <w:style w:type="character" w:customStyle="1" w:styleId="18">
    <w:name w:val="正文文本缩进 2 Char"/>
    <w:link w:val="7"/>
    <w:uiPriority w:val="0"/>
    <w:rPr>
      <w:rFonts w:ascii="@仿宋_GB2312" w:eastAsia="@仿宋_GB2312"/>
      <w:kern w:val="2"/>
      <w:sz w:val="24"/>
      <w:szCs w:val="24"/>
      <w:lang w:val="en-US" w:eastAsia="zh-CN" w:bidi="ar-SA"/>
    </w:rPr>
  </w:style>
  <w:style w:type="character" w:customStyle="1" w:styleId="19">
    <w:name w:val="页眉 Char"/>
    <w:link w:val="10"/>
    <w:qFormat/>
    <w:uiPriority w:val="0"/>
    <w:rPr>
      <w:rFonts w:eastAsia="@仿宋_GB2312"/>
      <w:kern w:val="2"/>
      <w:sz w:val="18"/>
      <w:szCs w:val="18"/>
      <w:lang w:val="en-US" w:eastAsia="zh-CN" w:bidi="ar-SA"/>
    </w:rPr>
  </w:style>
  <w:style w:type="character" w:customStyle="1" w:styleId="20">
    <w:name w:val="批注文字 Char"/>
    <w:link w:val="3"/>
    <w:semiHidden/>
    <w:uiPriority w:val="99"/>
    <w:rPr>
      <w:kern w:val="2"/>
      <w:sz w:val="21"/>
      <w:szCs w:val="24"/>
    </w:rPr>
  </w:style>
  <w:style w:type="character" w:customStyle="1" w:styleId="21">
    <w:name w:val="批注主题 Char"/>
    <w:link w:val="12"/>
    <w:semiHidden/>
    <w:uiPriority w:val="99"/>
    <w:rPr>
      <w:b/>
      <w:bCs/>
      <w:kern w:val="2"/>
      <w:sz w:val="21"/>
      <w:szCs w:val="24"/>
    </w:rPr>
  </w:style>
  <w:style w:type="character" w:customStyle="1" w:styleId="22">
    <w:name w:val="正文文本缩进 Char"/>
    <w:link w:val="5"/>
    <w:qFormat/>
    <w:uiPriority w:val="0"/>
    <w:rPr>
      <w:rFonts w:ascii="@仿宋_GB2312" w:eastAsia="@仿宋_GB2312"/>
      <w:kern w:val="2"/>
      <w:sz w:val="24"/>
      <w:szCs w:val="24"/>
      <w:lang w:val="en-US" w:eastAsia="zh-CN" w:bidi="ar-SA"/>
    </w:rPr>
  </w:style>
  <w:style w:type="paragraph" w:customStyle="1" w:styleId="23">
    <w:name w:val="100"/>
    <w:basedOn w:val="1"/>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4478</Words>
  <Characters>25529</Characters>
  <Lines>212</Lines>
  <Paragraphs>59</Paragraphs>
  <TotalTime>1531</TotalTime>
  <ScaleCrop>false</ScaleCrop>
  <LinksUpToDate>false</LinksUpToDate>
  <CharactersWithSpaces>29948</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2021-07-08T13:07:00Z</dcterms:created>
  <dc:creator>微软用户</dc:creator>
  <cp:lastModifiedBy>许老</cp:lastModifiedBy>
  <cp:lastPrinted>2021-06-21T02:30:00Z</cp:lastPrinted>
  <dcterms:modified xsi:type="dcterms:W3CDTF">2021-08-18T08:23:06Z</dcterms:modified>
  <dc:title>江西工业贸易职业技术学院2011级</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45BDF0CA098A4689886FACBC0048483C</vt:lpwstr>
  </property>
</Properties>
</file>